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32"/>
          <w:szCs w:val="32"/>
        </w:rPr>
      </w:pPr>
      <w:bookmarkStart w:id="0" w:name="_Toc55403930"/>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800" w:lineRule="exact"/>
        <w:jc w:val="center"/>
        <w:rPr>
          <w:rFonts w:eastAsia="方正小标宋_GBK"/>
          <w:spacing w:val="-10"/>
          <w:sz w:val="56"/>
          <w:szCs w:val="120"/>
        </w:rPr>
      </w:pPr>
      <w:r>
        <w:rPr>
          <w:rFonts w:hint="eastAsia" w:eastAsia="方正小标宋_GBK"/>
          <w:spacing w:val="-10"/>
          <w:sz w:val="56"/>
          <w:szCs w:val="120"/>
        </w:rPr>
        <w:t>常州市国民经济和社会发展</w:t>
      </w:r>
    </w:p>
    <w:p>
      <w:pPr>
        <w:spacing w:line="800" w:lineRule="exact"/>
        <w:jc w:val="center"/>
        <w:rPr>
          <w:rFonts w:eastAsia="方正小标宋_GBK"/>
          <w:sz w:val="56"/>
          <w:szCs w:val="120"/>
        </w:rPr>
      </w:pPr>
      <w:r>
        <w:rPr>
          <w:rFonts w:hint="eastAsia" w:eastAsia="方正小标宋_GBK"/>
          <w:spacing w:val="-10"/>
          <w:sz w:val="56"/>
          <w:szCs w:val="120"/>
        </w:rPr>
        <w:t>第十四个</w:t>
      </w:r>
      <w:r>
        <w:rPr>
          <w:rFonts w:hint="eastAsia" w:eastAsia="方正小标宋_GBK"/>
          <w:sz w:val="56"/>
          <w:szCs w:val="120"/>
        </w:rPr>
        <w:t>五年规划和二〇三五年</w:t>
      </w:r>
    </w:p>
    <w:p>
      <w:pPr>
        <w:spacing w:line="800" w:lineRule="exact"/>
        <w:jc w:val="center"/>
        <w:rPr>
          <w:rFonts w:eastAsia="方正小标宋_GBK"/>
          <w:sz w:val="56"/>
          <w:szCs w:val="120"/>
        </w:rPr>
      </w:pPr>
      <w:r>
        <w:rPr>
          <w:rFonts w:hint="eastAsia" w:eastAsia="方正小标宋_GBK"/>
          <w:sz w:val="56"/>
          <w:szCs w:val="120"/>
        </w:rPr>
        <w:t>远景目标纲要</w:t>
      </w: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pStyle w:val="5"/>
        <w:pBdr>
          <w:bottom w:val="none" w:color="auto" w:sz="0" w:space="0"/>
        </w:pBdr>
      </w:pPr>
    </w:p>
    <w:p>
      <w:pPr>
        <w:pStyle w:val="4"/>
      </w:pPr>
    </w:p>
    <w:p>
      <w:pPr>
        <w:pStyle w:val="4"/>
      </w:pPr>
    </w:p>
    <w:p>
      <w:pPr>
        <w:pStyle w:val="4"/>
      </w:pPr>
    </w:p>
    <w:p>
      <w:pPr>
        <w:pStyle w:val="5"/>
        <w:pBdr>
          <w:bottom w:val="none" w:color="auto" w:sz="0" w:space="0"/>
        </w:pBdr>
        <w:jc w:val="both"/>
      </w:pPr>
    </w:p>
    <w:p>
      <w:pPr>
        <w:pStyle w:val="4"/>
      </w:pPr>
    </w:p>
    <w:p>
      <w:pPr>
        <w:pStyle w:val="4"/>
      </w:pPr>
    </w:p>
    <w:p>
      <w:pPr>
        <w:pStyle w:val="4"/>
      </w:pPr>
    </w:p>
    <w:p>
      <w:pPr>
        <w:pStyle w:val="4"/>
      </w:pPr>
    </w:p>
    <w:p>
      <w:pPr>
        <w:spacing w:line="560" w:lineRule="exact"/>
        <w:jc w:val="center"/>
        <w:rPr>
          <w:rFonts w:hint="eastAsia" w:eastAsia="方正小标宋_GBK"/>
          <w:sz w:val="44"/>
          <w:szCs w:val="44"/>
        </w:rPr>
      </w:pPr>
      <w:r>
        <w:br w:type="page"/>
      </w:r>
      <w:bookmarkStart w:id="1" w:name="_Toc58576624"/>
      <w:bookmarkStart w:id="2" w:name="_Toc57562276"/>
    </w:p>
    <w:p>
      <w:pPr>
        <w:spacing w:line="570" w:lineRule="exact"/>
        <w:jc w:val="center"/>
        <w:rPr>
          <w:rFonts w:hint="eastAsia" w:eastAsia="方正小标宋_GBK"/>
          <w:sz w:val="44"/>
          <w:szCs w:val="44"/>
        </w:rPr>
      </w:pPr>
      <w:r>
        <w:rPr>
          <w:rFonts w:hint="eastAsia" w:eastAsia="方正小标宋_GBK"/>
          <w:sz w:val="44"/>
          <w:szCs w:val="44"/>
        </w:rPr>
        <w:t>目    录</w:t>
      </w:r>
      <w:bookmarkEnd w:id="1"/>
      <w:bookmarkEnd w:id="2"/>
    </w:p>
    <w:p>
      <w:pPr>
        <w:spacing w:line="570" w:lineRule="exact"/>
        <w:jc w:val="center"/>
        <w:rPr>
          <w:rFonts w:hint="eastAsia" w:eastAsia="方正小标宋_GBK"/>
          <w:sz w:val="44"/>
          <w:szCs w:val="44"/>
        </w:rPr>
      </w:pP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序  言</w:t>
      </w:r>
      <w:r>
        <w:rPr>
          <w:rFonts w:hint="eastAsia" w:ascii="宋体" w:hAnsi="宋体"/>
          <w:sz w:val="32"/>
          <w:szCs w:val="32"/>
        </w:rPr>
        <w:t>……………………………………………………………</w:t>
      </w:r>
      <w:r>
        <w:rPr>
          <w:rFonts w:hint="eastAsia" w:eastAsia="方正仿宋_GBK"/>
          <w:sz w:val="32"/>
          <w:szCs w:val="32"/>
        </w:rPr>
        <w:t>（8）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第一篇  开启社会主义现代化建设新征程</w:t>
      </w:r>
      <w:r>
        <w:rPr>
          <w:rFonts w:hint="eastAsia" w:ascii="宋体" w:hAnsi="宋体"/>
          <w:sz w:val="32"/>
          <w:szCs w:val="32"/>
        </w:rPr>
        <w:t>……………………</w:t>
      </w:r>
      <w:r>
        <w:rPr>
          <w:rFonts w:hint="eastAsia" w:eastAsia="方正仿宋_GBK"/>
          <w:sz w:val="32"/>
          <w:szCs w:val="32"/>
        </w:rPr>
        <w:t>（9）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第一章  发展基础</w:t>
      </w:r>
      <w:r>
        <w:rPr>
          <w:rFonts w:hint="eastAsia" w:ascii="宋体" w:hAnsi="宋体"/>
          <w:sz w:val="32"/>
          <w:szCs w:val="32"/>
        </w:rPr>
        <w:t>………………………………………………</w:t>
      </w:r>
      <w:r>
        <w:rPr>
          <w:rFonts w:hint="eastAsia" w:eastAsia="方正仿宋_GBK"/>
          <w:sz w:val="32"/>
          <w:szCs w:val="32"/>
        </w:rPr>
        <w:t>（9）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第二章  发展环境</w:t>
      </w:r>
      <w:r>
        <w:rPr>
          <w:rFonts w:hint="eastAsia" w:ascii="宋体" w:hAnsi="宋体"/>
          <w:sz w:val="32"/>
          <w:szCs w:val="32"/>
        </w:rPr>
        <w:t>……………………………………………</w:t>
      </w:r>
      <w:r>
        <w:rPr>
          <w:rFonts w:hint="eastAsia" w:eastAsia="方正仿宋_GBK"/>
          <w:sz w:val="32"/>
          <w:szCs w:val="32"/>
        </w:rPr>
        <w:t>（16）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第三章  总体要求</w:t>
      </w:r>
      <w:r>
        <w:rPr>
          <w:rFonts w:hint="eastAsia" w:ascii="宋体" w:hAnsi="宋体"/>
          <w:sz w:val="32"/>
          <w:szCs w:val="32"/>
        </w:rPr>
        <w:t>……………………………………………</w:t>
      </w:r>
      <w:r>
        <w:rPr>
          <w:rFonts w:hint="eastAsia" w:eastAsia="方正仿宋_GBK"/>
          <w:sz w:val="32"/>
          <w:szCs w:val="32"/>
        </w:rPr>
        <w:t>（18）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指导思想</w:t>
      </w:r>
      <w:r>
        <w:rPr>
          <w:rFonts w:hint="eastAsia" w:ascii="宋体" w:hAnsi="宋体"/>
          <w:sz w:val="32"/>
          <w:szCs w:val="32"/>
        </w:rPr>
        <w:t>……………………………………………</w:t>
      </w:r>
      <w:r>
        <w:rPr>
          <w:rFonts w:hint="eastAsia" w:eastAsia="方正仿宋_GBK"/>
          <w:sz w:val="32"/>
          <w:szCs w:val="32"/>
        </w:rPr>
        <w:t>（18）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2035年远景目标</w:t>
      </w:r>
      <w:r>
        <w:rPr>
          <w:rFonts w:hint="eastAsia" w:ascii="宋体" w:hAnsi="宋体"/>
          <w:sz w:val="32"/>
          <w:szCs w:val="32"/>
        </w:rPr>
        <w:t>……………………………………</w:t>
      </w:r>
      <w:r>
        <w:rPr>
          <w:rFonts w:hint="eastAsia" w:eastAsia="方正仿宋_GBK"/>
          <w:sz w:val="32"/>
          <w:szCs w:val="32"/>
        </w:rPr>
        <w:t>（21）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空间格局</w:t>
      </w:r>
      <w:r>
        <w:rPr>
          <w:rFonts w:hint="eastAsia" w:ascii="宋体" w:hAnsi="宋体"/>
          <w:sz w:val="32"/>
          <w:szCs w:val="32"/>
        </w:rPr>
        <w:t>……………………………………………</w:t>
      </w:r>
      <w:r>
        <w:rPr>
          <w:rFonts w:hint="eastAsia" w:eastAsia="方正仿宋_GBK"/>
          <w:sz w:val="32"/>
          <w:szCs w:val="32"/>
        </w:rPr>
        <w:t>（22）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“十四五”经济社会发展目标</w:t>
      </w:r>
      <w:r>
        <w:rPr>
          <w:rFonts w:hint="eastAsia" w:ascii="宋体" w:hAnsi="宋体"/>
          <w:sz w:val="32"/>
          <w:szCs w:val="32"/>
        </w:rPr>
        <w:t>………………………</w:t>
      </w:r>
      <w:r>
        <w:rPr>
          <w:rFonts w:hint="eastAsia" w:eastAsia="方正仿宋_GBK"/>
          <w:sz w:val="32"/>
          <w:szCs w:val="32"/>
        </w:rPr>
        <w:t>（23）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第二篇  建设国际化智造名城</w:t>
      </w:r>
      <w:r>
        <w:rPr>
          <w:rFonts w:hint="eastAsia" w:ascii="宋体" w:hAnsi="宋体"/>
          <w:sz w:val="32"/>
          <w:szCs w:val="32"/>
        </w:rPr>
        <w:t>………………………………</w:t>
      </w:r>
      <w:r>
        <w:rPr>
          <w:rFonts w:hint="eastAsia" w:eastAsia="方正仿宋_GBK"/>
          <w:sz w:val="32"/>
          <w:szCs w:val="32"/>
        </w:rPr>
        <w:t>（27）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第四章  打造工业智造明星城</w:t>
      </w:r>
      <w:r>
        <w:rPr>
          <w:rFonts w:hint="eastAsia" w:ascii="宋体" w:hAnsi="宋体"/>
          <w:b/>
          <w:bCs/>
          <w:sz w:val="32"/>
          <w:szCs w:val="32"/>
        </w:rPr>
        <w:t>…</w:t>
      </w:r>
      <w:r>
        <w:rPr>
          <w:rFonts w:hint="eastAsia" w:ascii="宋体" w:hAnsi="宋体"/>
          <w:sz w:val="32"/>
          <w:szCs w:val="32"/>
        </w:rPr>
        <w:t>……………………………</w:t>
      </w:r>
      <w:r>
        <w:rPr>
          <w:rFonts w:hint="eastAsia" w:eastAsia="方正仿宋_GBK"/>
          <w:sz w:val="32"/>
          <w:szCs w:val="32"/>
        </w:rPr>
        <w:t>（27）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建设具有国际竞争力的先进制造业基地</w:t>
      </w:r>
      <w:r>
        <w:rPr>
          <w:rFonts w:hint="eastAsia" w:ascii="宋体" w:hAnsi="宋体"/>
          <w:sz w:val="32"/>
          <w:szCs w:val="32"/>
        </w:rPr>
        <w:t>…………</w:t>
      </w:r>
      <w:r>
        <w:rPr>
          <w:rFonts w:hint="eastAsia" w:eastAsia="方正仿宋_GBK"/>
          <w:sz w:val="32"/>
          <w:szCs w:val="32"/>
        </w:rPr>
        <w:t>（27）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推动先进制造业与现代服务业深度融合</w:t>
      </w:r>
      <w:r>
        <w:rPr>
          <w:rFonts w:hint="eastAsia" w:ascii="宋体" w:hAnsi="宋体"/>
          <w:sz w:val="32"/>
          <w:szCs w:val="32"/>
        </w:rPr>
        <w:t>…………</w:t>
      </w:r>
      <w:r>
        <w:rPr>
          <w:rFonts w:hint="eastAsia" w:eastAsia="方正仿宋_GBK"/>
          <w:sz w:val="32"/>
          <w:szCs w:val="32"/>
        </w:rPr>
        <w:t>（31）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建设数字经济强市</w:t>
      </w:r>
      <w:r>
        <w:rPr>
          <w:rFonts w:hint="eastAsia" w:ascii="宋体" w:hAnsi="宋体"/>
          <w:sz w:val="32"/>
          <w:szCs w:val="32"/>
        </w:rPr>
        <w:t>…………………………………</w:t>
      </w:r>
      <w:r>
        <w:rPr>
          <w:rFonts w:hint="eastAsia" w:eastAsia="方正仿宋_GBK"/>
          <w:sz w:val="32"/>
          <w:szCs w:val="32"/>
        </w:rPr>
        <w:t>（33）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建设更高水平产业园区</w:t>
      </w:r>
      <w:r>
        <w:rPr>
          <w:rFonts w:hint="eastAsia" w:ascii="宋体" w:hAnsi="宋体"/>
          <w:sz w:val="32"/>
          <w:szCs w:val="32"/>
        </w:rPr>
        <w:t>……………………………</w:t>
      </w:r>
      <w:r>
        <w:rPr>
          <w:rFonts w:hint="eastAsia" w:eastAsia="方正仿宋_GBK"/>
          <w:sz w:val="32"/>
          <w:szCs w:val="32"/>
        </w:rPr>
        <w:t>（35）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第五章  打造科教创新明星城</w:t>
      </w:r>
      <w:r>
        <w:rPr>
          <w:rFonts w:hint="eastAsia" w:eastAsia="方正仿宋_GBK"/>
          <w:b/>
          <w:bCs/>
          <w:sz w:val="32"/>
          <w:szCs w:val="32"/>
        </w:rPr>
        <w:t>…</w:t>
      </w:r>
      <w:r>
        <w:rPr>
          <w:rFonts w:hint="eastAsia" w:ascii="宋体" w:hAnsi="宋体"/>
          <w:sz w:val="32"/>
          <w:szCs w:val="32"/>
        </w:rPr>
        <w:t>……………………………</w:t>
      </w:r>
      <w:r>
        <w:rPr>
          <w:rFonts w:hint="eastAsia" w:eastAsia="方正仿宋_GBK"/>
          <w:sz w:val="32"/>
          <w:szCs w:val="32"/>
        </w:rPr>
        <w:t>（36）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提升产业技术创新能力</w:t>
      </w:r>
      <w:r>
        <w:rPr>
          <w:rFonts w:hint="eastAsia" w:ascii="宋体" w:hAnsi="宋体"/>
          <w:sz w:val="32"/>
          <w:szCs w:val="32"/>
        </w:rPr>
        <w:t>……………………………</w:t>
      </w:r>
      <w:r>
        <w:rPr>
          <w:rFonts w:hint="eastAsia" w:eastAsia="方正仿宋_GBK"/>
          <w:sz w:val="32"/>
          <w:szCs w:val="32"/>
        </w:rPr>
        <w:t>（37）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做优做强创新载体平台</w:t>
      </w:r>
      <w:r>
        <w:rPr>
          <w:rFonts w:hint="eastAsia" w:ascii="宋体" w:hAnsi="宋体"/>
          <w:sz w:val="32"/>
          <w:szCs w:val="32"/>
        </w:rPr>
        <w:t>……………………………</w:t>
      </w:r>
      <w:r>
        <w:rPr>
          <w:rFonts w:hint="eastAsia" w:eastAsia="方正仿宋_GBK"/>
          <w:sz w:val="32"/>
          <w:szCs w:val="32"/>
        </w:rPr>
        <w:t>（39）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构建一流创新创业生态</w:t>
      </w:r>
      <w:r>
        <w:rPr>
          <w:rFonts w:hint="eastAsia" w:ascii="宋体" w:hAnsi="宋体"/>
          <w:sz w:val="32"/>
          <w:szCs w:val="32"/>
        </w:rPr>
        <w:t>……………………………</w:t>
      </w:r>
      <w:r>
        <w:rPr>
          <w:rFonts w:hint="eastAsia" w:eastAsia="方正仿宋_GBK"/>
          <w:sz w:val="32"/>
          <w:szCs w:val="32"/>
        </w:rPr>
        <w:t>（42）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第六章  打造长三角人才集聚新高地</w:t>
      </w:r>
      <w:r>
        <w:rPr>
          <w:rFonts w:hint="eastAsia" w:ascii="宋体" w:hAnsi="宋体"/>
          <w:sz w:val="32"/>
          <w:szCs w:val="32"/>
        </w:rPr>
        <w:t>………………………</w:t>
      </w:r>
      <w:r>
        <w:rPr>
          <w:rFonts w:hint="eastAsia" w:eastAsia="方正仿宋_GBK"/>
          <w:sz w:val="32"/>
          <w:szCs w:val="32"/>
        </w:rPr>
        <w:t>（43）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创新人才发展机制</w:t>
      </w:r>
      <w:r>
        <w:rPr>
          <w:rFonts w:hint="eastAsia" w:ascii="宋体" w:hAnsi="宋体"/>
          <w:sz w:val="32"/>
          <w:szCs w:val="32"/>
        </w:rPr>
        <w:t>…………………………………</w:t>
      </w:r>
      <w:r>
        <w:rPr>
          <w:rFonts w:hint="eastAsia" w:eastAsia="方正仿宋_GBK"/>
          <w:sz w:val="32"/>
          <w:szCs w:val="32"/>
        </w:rPr>
        <w:t>（44）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实施十大人才工程</w:t>
      </w:r>
      <w:r>
        <w:rPr>
          <w:rFonts w:hint="eastAsia" w:ascii="宋体" w:hAnsi="宋体"/>
          <w:sz w:val="32"/>
          <w:szCs w:val="32"/>
        </w:rPr>
        <w:t>…………………………………</w:t>
      </w:r>
      <w:r>
        <w:rPr>
          <w:rFonts w:hint="eastAsia" w:eastAsia="方正仿宋_GBK"/>
          <w:sz w:val="32"/>
          <w:szCs w:val="32"/>
        </w:rPr>
        <w:t>（45）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第三篇  建设长三角中轴枢纽</w:t>
      </w:r>
      <w:r>
        <w:rPr>
          <w:rFonts w:hint="eastAsia" w:ascii="宋体" w:hAnsi="宋体"/>
          <w:sz w:val="32"/>
          <w:szCs w:val="32"/>
        </w:rPr>
        <w:t>………………………………</w:t>
      </w:r>
      <w:r>
        <w:rPr>
          <w:rFonts w:hint="eastAsia" w:eastAsia="方正仿宋_GBK"/>
          <w:sz w:val="32"/>
          <w:szCs w:val="32"/>
        </w:rPr>
        <w:t>（48）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第七章  打造区域综合交通枢纽城市</w:t>
      </w:r>
      <w:r>
        <w:rPr>
          <w:rFonts w:hint="eastAsia" w:ascii="宋体" w:hAnsi="宋体"/>
          <w:sz w:val="32"/>
          <w:szCs w:val="32"/>
        </w:rPr>
        <w:t>………………………</w:t>
      </w:r>
      <w:r>
        <w:rPr>
          <w:rFonts w:hint="eastAsia" w:eastAsia="方正仿宋_GBK"/>
          <w:sz w:val="32"/>
          <w:szCs w:val="32"/>
        </w:rPr>
        <w:t>（48）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强化中轴干线通道能力</w:t>
      </w:r>
      <w:r>
        <w:rPr>
          <w:rFonts w:hint="eastAsia" w:ascii="宋体" w:hAnsi="宋体"/>
          <w:sz w:val="32"/>
          <w:szCs w:val="32"/>
        </w:rPr>
        <w:t>……………………………</w:t>
      </w:r>
      <w:r>
        <w:rPr>
          <w:rFonts w:hint="eastAsia" w:eastAsia="方正仿宋_GBK"/>
          <w:sz w:val="32"/>
          <w:szCs w:val="32"/>
        </w:rPr>
        <w:t>（48）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提升中轴综合枢纽能级</w:t>
      </w:r>
      <w:r>
        <w:rPr>
          <w:rFonts w:hint="eastAsia" w:ascii="宋体" w:hAnsi="宋体"/>
          <w:sz w:val="32"/>
          <w:szCs w:val="32"/>
        </w:rPr>
        <w:t>……………………………</w:t>
      </w:r>
      <w:r>
        <w:rPr>
          <w:rFonts w:hint="eastAsia" w:eastAsia="方正仿宋_GBK"/>
          <w:sz w:val="32"/>
          <w:szCs w:val="32"/>
        </w:rPr>
        <w:t>（49）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完善城际综合交通网络</w:t>
      </w:r>
      <w:r>
        <w:rPr>
          <w:rFonts w:hint="eastAsia" w:ascii="宋体" w:hAnsi="宋体"/>
          <w:sz w:val="32"/>
          <w:szCs w:val="32"/>
        </w:rPr>
        <w:t>……………………………</w:t>
      </w:r>
      <w:r>
        <w:rPr>
          <w:rFonts w:hint="eastAsia" w:eastAsia="方正仿宋_GBK"/>
          <w:sz w:val="32"/>
          <w:szCs w:val="32"/>
        </w:rPr>
        <w:t>（50）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第八章  提升中心城市能级</w:t>
      </w:r>
      <w:r>
        <w:rPr>
          <w:rFonts w:hint="eastAsia" w:ascii="宋体" w:hAnsi="宋体"/>
          <w:sz w:val="32"/>
          <w:szCs w:val="32"/>
        </w:rPr>
        <w:t>…………………………………</w:t>
      </w:r>
      <w:r>
        <w:rPr>
          <w:rFonts w:hint="eastAsia" w:eastAsia="方正仿宋_GBK"/>
          <w:sz w:val="32"/>
          <w:szCs w:val="32"/>
        </w:rPr>
        <w:t>（52）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发展壮大城市经济</w:t>
      </w:r>
      <w:r>
        <w:rPr>
          <w:rFonts w:hint="eastAsia" w:ascii="宋体" w:hAnsi="宋体"/>
          <w:sz w:val="32"/>
          <w:szCs w:val="32"/>
        </w:rPr>
        <w:t>…………………………………</w:t>
      </w:r>
      <w:r>
        <w:rPr>
          <w:rFonts w:hint="eastAsia" w:eastAsia="方正仿宋_GBK"/>
          <w:sz w:val="32"/>
          <w:szCs w:val="32"/>
        </w:rPr>
        <w:t>（52）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建设长三角现代物流中心</w:t>
      </w:r>
      <w:r>
        <w:rPr>
          <w:rFonts w:hint="eastAsia" w:ascii="宋体" w:hAnsi="宋体"/>
          <w:sz w:val="32"/>
          <w:szCs w:val="32"/>
        </w:rPr>
        <w:t>…………………………</w:t>
      </w:r>
      <w:r>
        <w:rPr>
          <w:rFonts w:hint="eastAsia" w:eastAsia="方正仿宋_GBK"/>
          <w:sz w:val="32"/>
          <w:szCs w:val="32"/>
        </w:rPr>
        <w:t>（54）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提升完善城市综合功能</w:t>
      </w:r>
      <w:r>
        <w:rPr>
          <w:rFonts w:hint="eastAsia" w:ascii="宋体" w:hAnsi="宋体"/>
          <w:sz w:val="32"/>
          <w:szCs w:val="32"/>
        </w:rPr>
        <w:t>……………………………</w:t>
      </w:r>
      <w:r>
        <w:rPr>
          <w:rFonts w:hint="eastAsia" w:eastAsia="方正仿宋_GBK"/>
          <w:sz w:val="32"/>
          <w:szCs w:val="32"/>
        </w:rPr>
        <w:t>（55）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提升城市建设管理水平</w:t>
      </w:r>
      <w:r>
        <w:rPr>
          <w:rFonts w:hint="eastAsia" w:ascii="宋体" w:hAnsi="宋体"/>
          <w:sz w:val="32"/>
          <w:szCs w:val="32"/>
        </w:rPr>
        <w:t>……………………………</w:t>
      </w:r>
      <w:r>
        <w:rPr>
          <w:rFonts w:hint="eastAsia" w:eastAsia="方正仿宋_GBK"/>
          <w:sz w:val="32"/>
          <w:szCs w:val="32"/>
        </w:rPr>
        <w:t>（57）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第九章  构建市域城乡融合发展新格局</w:t>
      </w:r>
      <w:r>
        <w:rPr>
          <w:rFonts w:hint="eastAsia" w:ascii="宋体" w:hAnsi="宋体"/>
          <w:sz w:val="32"/>
          <w:szCs w:val="32"/>
        </w:rPr>
        <w:t>……………………</w:t>
      </w:r>
      <w:r>
        <w:rPr>
          <w:rFonts w:hint="eastAsia" w:eastAsia="方正仿宋_GBK"/>
          <w:sz w:val="32"/>
          <w:szCs w:val="32"/>
        </w:rPr>
        <w:t>（59）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强化市域统筹联动发展</w:t>
      </w:r>
      <w:r>
        <w:rPr>
          <w:rFonts w:hint="eastAsia" w:ascii="宋体" w:hAnsi="宋体"/>
          <w:sz w:val="32"/>
          <w:szCs w:val="32"/>
        </w:rPr>
        <w:t>……………………………</w:t>
      </w:r>
      <w:r>
        <w:rPr>
          <w:rFonts w:hint="eastAsia" w:eastAsia="方正仿宋_GBK"/>
          <w:sz w:val="32"/>
          <w:szCs w:val="32"/>
        </w:rPr>
        <w:t>（59）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全面推进乡村振兴</w:t>
      </w:r>
      <w:r>
        <w:rPr>
          <w:rFonts w:hint="eastAsia" w:ascii="宋体" w:hAnsi="宋体"/>
          <w:sz w:val="32"/>
          <w:szCs w:val="32"/>
        </w:rPr>
        <w:t>…………………………………</w:t>
      </w:r>
      <w:r>
        <w:rPr>
          <w:rFonts w:hint="eastAsia" w:eastAsia="方正仿宋_GBK"/>
          <w:sz w:val="32"/>
          <w:szCs w:val="32"/>
        </w:rPr>
        <w:t>（62）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第十章  深度融入区域发展</w:t>
      </w:r>
      <w:r>
        <w:rPr>
          <w:rFonts w:hint="eastAsia" w:ascii="宋体" w:hAnsi="宋体"/>
          <w:sz w:val="32"/>
          <w:szCs w:val="32"/>
        </w:rPr>
        <w:t>…………………………………</w:t>
      </w:r>
      <w:r>
        <w:rPr>
          <w:rFonts w:hint="eastAsia" w:eastAsia="方正仿宋_GBK"/>
          <w:sz w:val="32"/>
          <w:szCs w:val="32"/>
        </w:rPr>
        <w:t>（65）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全面融入长三角高质量一体化发展</w:t>
      </w:r>
      <w:r>
        <w:rPr>
          <w:rFonts w:hint="eastAsia" w:ascii="宋体" w:hAnsi="宋体"/>
          <w:sz w:val="32"/>
          <w:szCs w:val="32"/>
        </w:rPr>
        <w:t>………………</w:t>
      </w:r>
      <w:r>
        <w:rPr>
          <w:rFonts w:hint="eastAsia" w:eastAsia="方正仿宋_GBK"/>
          <w:sz w:val="32"/>
          <w:szCs w:val="32"/>
        </w:rPr>
        <w:t>（65）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高质量参与长江经济带发展</w:t>
      </w:r>
      <w:r>
        <w:rPr>
          <w:rFonts w:hint="eastAsia" w:ascii="宋体" w:hAnsi="宋体"/>
          <w:sz w:val="32"/>
          <w:szCs w:val="32"/>
        </w:rPr>
        <w:t>………………………</w:t>
      </w:r>
      <w:r>
        <w:rPr>
          <w:rFonts w:hint="eastAsia" w:eastAsia="方正仿宋_GBK"/>
          <w:sz w:val="32"/>
          <w:szCs w:val="32"/>
        </w:rPr>
        <w:t>（67）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高水平共建苏锡常都市圈</w:t>
      </w:r>
      <w:r>
        <w:rPr>
          <w:rFonts w:hint="eastAsia" w:ascii="宋体" w:hAnsi="宋体"/>
          <w:sz w:val="32"/>
          <w:szCs w:val="32"/>
        </w:rPr>
        <w:t>…………………………</w:t>
      </w:r>
      <w:r>
        <w:rPr>
          <w:rFonts w:hint="eastAsia" w:eastAsia="方正仿宋_GBK"/>
          <w:sz w:val="32"/>
          <w:szCs w:val="32"/>
        </w:rPr>
        <w:t>（68）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提高对口支援帮扶合作水平</w:t>
      </w:r>
      <w:r>
        <w:rPr>
          <w:rFonts w:hint="eastAsia" w:ascii="宋体" w:hAnsi="宋体"/>
          <w:sz w:val="32"/>
          <w:szCs w:val="32"/>
        </w:rPr>
        <w:t>………………………</w:t>
      </w:r>
      <w:r>
        <w:rPr>
          <w:rFonts w:hint="eastAsia" w:eastAsia="方正仿宋_GBK"/>
          <w:sz w:val="32"/>
          <w:szCs w:val="32"/>
        </w:rPr>
        <w:t>（69）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第四篇  建设双循环重要节点城市</w:t>
      </w:r>
      <w:r>
        <w:rPr>
          <w:rFonts w:hint="eastAsia" w:ascii="宋体" w:hAnsi="宋体"/>
          <w:sz w:val="32"/>
          <w:szCs w:val="32"/>
        </w:rPr>
        <w:t>…………………………</w:t>
      </w:r>
      <w:r>
        <w:rPr>
          <w:rFonts w:hint="eastAsia" w:eastAsia="方正仿宋_GBK"/>
          <w:sz w:val="32"/>
          <w:szCs w:val="32"/>
        </w:rPr>
        <w:t>（71）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第十一章  融入国内大循环</w:t>
      </w:r>
      <w:r>
        <w:rPr>
          <w:rFonts w:hint="eastAsia" w:ascii="宋体" w:hAnsi="宋体"/>
          <w:sz w:val="32"/>
          <w:szCs w:val="32"/>
        </w:rPr>
        <w:t>…………………………………</w:t>
      </w:r>
      <w:r>
        <w:rPr>
          <w:rFonts w:hint="eastAsia" w:eastAsia="方正仿宋_GBK"/>
          <w:sz w:val="32"/>
          <w:szCs w:val="32"/>
        </w:rPr>
        <w:t>（71）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全面提高供给质量效益</w:t>
      </w:r>
      <w:r>
        <w:rPr>
          <w:rFonts w:hint="eastAsia" w:ascii="宋体" w:hAnsi="宋体"/>
          <w:sz w:val="32"/>
          <w:szCs w:val="32"/>
        </w:rPr>
        <w:t>……………………………</w:t>
      </w:r>
      <w:r>
        <w:rPr>
          <w:rFonts w:hint="eastAsia" w:eastAsia="方正仿宋_GBK"/>
          <w:sz w:val="32"/>
          <w:szCs w:val="32"/>
        </w:rPr>
        <w:t>（71）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打造区域消费中心城市</w:t>
      </w:r>
      <w:r>
        <w:rPr>
          <w:rFonts w:hint="eastAsia" w:ascii="宋体" w:hAnsi="宋体"/>
          <w:sz w:val="32"/>
          <w:szCs w:val="32"/>
        </w:rPr>
        <w:t>……………………………</w:t>
      </w:r>
      <w:r>
        <w:rPr>
          <w:rFonts w:hint="eastAsia" w:eastAsia="方正仿宋_GBK"/>
          <w:sz w:val="32"/>
          <w:szCs w:val="32"/>
        </w:rPr>
        <w:t>（72）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第十二章  打造高质量对外开放城市</w:t>
      </w:r>
      <w:r>
        <w:rPr>
          <w:rFonts w:hint="eastAsia" w:ascii="宋体" w:hAnsi="宋体"/>
          <w:sz w:val="32"/>
          <w:szCs w:val="32"/>
        </w:rPr>
        <w:t>………………………</w:t>
      </w:r>
      <w:r>
        <w:rPr>
          <w:rFonts w:hint="eastAsia" w:eastAsia="方正仿宋_GBK"/>
          <w:sz w:val="32"/>
          <w:szCs w:val="32"/>
        </w:rPr>
        <w:t>（73）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提升利用外资质量和水平</w:t>
      </w:r>
      <w:r>
        <w:rPr>
          <w:rFonts w:hint="eastAsia" w:ascii="宋体" w:hAnsi="宋体"/>
          <w:sz w:val="32"/>
          <w:szCs w:val="32"/>
        </w:rPr>
        <w:t>…………………………</w:t>
      </w:r>
      <w:r>
        <w:rPr>
          <w:rFonts w:hint="eastAsia" w:eastAsia="方正仿宋_GBK"/>
          <w:sz w:val="32"/>
          <w:szCs w:val="32"/>
        </w:rPr>
        <w:t>（74）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转变外贸发展方式</w:t>
      </w:r>
      <w:r>
        <w:rPr>
          <w:rFonts w:hint="eastAsia" w:ascii="宋体" w:hAnsi="宋体"/>
          <w:sz w:val="32"/>
          <w:szCs w:val="32"/>
        </w:rPr>
        <w:t>…………………………………</w:t>
      </w:r>
      <w:r>
        <w:rPr>
          <w:rFonts w:hint="eastAsia" w:eastAsia="方正仿宋_GBK"/>
          <w:sz w:val="32"/>
          <w:szCs w:val="32"/>
        </w:rPr>
        <w:t>（75）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深入实施“走出去”战略</w:t>
      </w:r>
      <w:r>
        <w:rPr>
          <w:rFonts w:hint="eastAsia" w:ascii="宋体" w:hAnsi="宋体"/>
          <w:sz w:val="32"/>
          <w:szCs w:val="32"/>
        </w:rPr>
        <w:t>…………………………</w:t>
      </w:r>
      <w:r>
        <w:rPr>
          <w:rFonts w:hint="eastAsia" w:eastAsia="方正仿宋_GBK"/>
          <w:sz w:val="32"/>
          <w:szCs w:val="32"/>
        </w:rPr>
        <w:t>（76）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增创开放新优势</w:t>
      </w:r>
      <w:r>
        <w:rPr>
          <w:rFonts w:hint="eastAsia" w:ascii="宋体" w:hAnsi="宋体"/>
          <w:sz w:val="32"/>
          <w:szCs w:val="32"/>
        </w:rPr>
        <w:t>……………………………………</w:t>
      </w:r>
      <w:r>
        <w:rPr>
          <w:rFonts w:hint="eastAsia" w:eastAsia="方正仿宋_GBK"/>
          <w:sz w:val="32"/>
          <w:szCs w:val="32"/>
        </w:rPr>
        <w:t>（77）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第十三章  争当全面深化改革表率</w:t>
      </w:r>
      <w:r>
        <w:rPr>
          <w:rFonts w:hint="eastAsia" w:ascii="宋体" w:hAnsi="宋体"/>
          <w:sz w:val="32"/>
          <w:szCs w:val="32"/>
        </w:rPr>
        <w:t>…………………………</w:t>
      </w:r>
      <w:r>
        <w:rPr>
          <w:rFonts w:hint="eastAsia" w:eastAsia="方正仿宋_GBK"/>
          <w:sz w:val="32"/>
          <w:szCs w:val="32"/>
        </w:rPr>
        <w:t>（79）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打造一流营商环境</w:t>
      </w:r>
      <w:r>
        <w:rPr>
          <w:rFonts w:hint="eastAsia" w:ascii="宋体" w:hAnsi="宋体"/>
          <w:sz w:val="32"/>
          <w:szCs w:val="32"/>
        </w:rPr>
        <w:t>…………………………………</w:t>
      </w:r>
      <w:r>
        <w:rPr>
          <w:rFonts w:hint="eastAsia" w:eastAsia="方正仿宋_GBK"/>
          <w:sz w:val="32"/>
          <w:szCs w:val="32"/>
        </w:rPr>
        <w:t>（79）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完善要素市场化配置体制机制</w:t>
      </w:r>
      <w:r>
        <w:rPr>
          <w:rFonts w:hint="eastAsia" w:ascii="宋体" w:hAnsi="宋体"/>
          <w:sz w:val="32"/>
          <w:szCs w:val="32"/>
        </w:rPr>
        <w:t>……………………</w:t>
      </w:r>
      <w:r>
        <w:rPr>
          <w:rFonts w:hint="eastAsia" w:eastAsia="方正仿宋_GBK"/>
          <w:sz w:val="32"/>
          <w:szCs w:val="32"/>
        </w:rPr>
        <w:t>（81）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深化重点领域关键环节改革</w:t>
      </w:r>
      <w:r>
        <w:rPr>
          <w:rFonts w:hint="eastAsia" w:ascii="宋体" w:hAnsi="宋体"/>
          <w:sz w:val="32"/>
          <w:szCs w:val="32"/>
        </w:rPr>
        <w:t>………………………</w:t>
      </w:r>
      <w:r>
        <w:rPr>
          <w:rFonts w:hint="eastAsia" w:eastAsia="方正仿宋_GBK"/>
          <w:sz w:val="32"/>
          <w:szCs w:val="32"/>
        </w:rPr>
        <w:t>（82）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第五篇  建设美丽常州</w:t>
      </w:r>
      <w:r>
        <w:rPr>
          <w:rFonts w:hint="eastAsia" w:eastAsia="方正仿宋_GBK"/>
          <w:b/>
          <w:bCs/>
          <w:sz w:val="32"/>
          <w:szCs w:val="32"/>
        </w:rPr>
        <w:t>…</w:t>
      </w:r>
      <w:r>
        <w:rPr>
          <w:rFonts w:hint="eastAsia" w:ascii="宋体" w:hAnsi="宋体"/>
          <w:sz w:val="32"/>
          <w:szCs w:val="32"/>
        </w:rPr>
        <w:t>……………………………………</w:t>
      </w:r>
      <w:r>
        <w:rPr>
          <w:rFonts w:hint="eastAsia" w:eastAsia="方正仿宋_GBK"/>
          <w:sz w:val="32"/>
          <w:szCs w:val="32"/>
        </w:rPr>
        <w:t>（87）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第十四章  打造宜居美丽明星城</w:t>
      </w:r>
      <w:r>
        <w:rPr>
          <w:rFonts w:hint="eastAsia" w:eastAsia="方正仿宋_GBK"/>
          <w:b/>
          <w:bCs/>
          <w:sz w:val="32"/>
          <w:szCs w:val="32"/>
        </w:rPr>
        <w:t>…</w:t>
      </w:r>
      <w:r>
        <w:rPr>
          <w:rFonts w:hint="eastAsia" w:ascii="宋体" w:hAnsi="宋体"/>
          <w:sz w:val="32"/>
          <w:szCs w:val="32"/>
        </w:rPr>
        <w:t>…………………………</w:t>
      </w:r>
      <w:r>
        <w:rPr>
          <w:rFonts w:hint="eastAsia" w:eastAsia="方正仿宋_GBK"/>
          <w:sz w:val="32"/>
          <w:szCs w:val="32"/>
        </w:rPr>
        <w:t>（87）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实施生态系统保护修复行动</w:t>
      </w:r>
      <w:r>
        <w:rPr>
          <w:rFonts w:hint="eastAsia" w:ascii="宋体" w:hAnsi="宋体"/>
          <w:sz w:val="32"/>
          <w:szCs w:val="32"/>
        </w:rPr>
        <w:t>………………………</w:t>
      </w:r>
      <w:r>
        <w:rPr>
          <w:rFonts w:hint="eastAsia" w:eastAsia="方正仿宋_GBK"/>
          <w:sz w:val="32"/>
          <w:szCs w:val="32"/>
        </w:rPr>
        <w:t>（87）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实施污染防治强化攻坚行动</w:t>
      </w:r>
      <w:r>
        <w:rPr>
          <w:rFonts w:hint="eastAsia" w:ascii="宋体" w:hAnsi="宋体"/>
          <w:sz w:val="32"/>
          <w:szCs w:val="32"/>
        </w:rPr>
        <w:t>………………………</w:t>
      </w:r>
      <w:r>
        <w:rPr>
          <w:rFonts w:hint="eastAsia" w:eastAsia="方正仿宋_GBK"/>
          <w:sz w:val="32"/>
          <w:szCs w:val="32"/>
        </w:rPr>
        <w:t>（89）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实施美丽城乡建设行动</w:t>
      </w:r>
      <w:r>
        <w:rPr>
          <w:rFonts w:hint="eastAsia" w:ascii="宋体" w:hAnsi="宋体"/>
          <w:sz w:val="32"/>
          <w:szCs w:val="32"/>
        </w:rPr>
        <w:t>……………………………</w:t>
      </w:r>
      <w:r>
        <w:rPr>
          <w:rFonts w:hint="eastAsia" w:eastAsia="方正仿宋_GBK"/>
          <w:sz w:val="32"/>
          <w:szCs w:val="32"/>
        </w:rPr>
        <w:t>（92）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实施自然资源节约集约利用行动</w:t>
      </w:r>
      <w:r>
        <w:rPr>
          <w:rFonts w:hint="eastAsia" w:ascii="宋体" w:hAnsi="宋体"/>
          <w:sz w:val="32"/>
          <w:szCs w:val="32"/>
        </w:rPr>
        <w:t>…………………</w:t>
      </w:r>
      <w:r>
        <w:rPr>
          <w:rFonts w:hint="eastAsia" w:eastAsia="方正仿宋_GBK"/>
          <w:sz w:val="32"/>
          <w:szCs w:val="32"/>
        </w:rPr>
        <w:t>（94）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第五节  实施绿色低碳发展行动</w:t>
      </w:r>
      <w:r>
        <w:rPr>
          <w:rFonts w:hint="eastAsia" w:ascii="宋体" w:hAnsi="宋体"/>
          <w:sz w:val="32"/>
          <w:szCs w:val="32"/>
        </w:rPr>
        <w:t>……………………………</w:t>
      </w:r>
      <w:r>
        <w:rPr>
          <w:rFonts w:hint="eastAsia" w:eastAsia="方正仿宋_GBK"/>
          <w:sz w:val="32"/>
          <w:szCs w:val="32"/>
        </w:rPr>
        <w:t>（96）</w:t>
      </w:r>
    </w:p>
    <w:p>
      <w:pPr>
        <w:overflowPunct w:val="0"/>
        <w:autoSpaceDE w:val="0"/>
        <w:autoSpaceDN w:val="0"/>
        <w:adjustRightInd w:val="0"/>
        <w:snapToGrid w:val="0"/>
        <w:spacing w:line="570" w:lineRule="exact"/>
        <w:rPr>
          <w:rFonts w:hint="eastAsia" w:eastAsia="方正仿宋_GBK"/>
          <w:sz w:val="32"/>
          <w:szCs w:val="32"/>
        </w:rPr>
      </w:pPr>
      <w:bookmarkStart w:id="191" w:name="_GoBack"/>
      <w:r>
        <w:rPr>
          <w:rFonts w:hint="eastAsia" w:eastAsia="方正仿宋_GBK"/>
          <w:sz w:val="32"/>
          <w:szCs w:val="32"/>
        </w:rPr>
        <w:t>第十五章  打造文旅休闲明星城</w:t>
      </w:r>
      <w:bookmarkEnd w:id="191"/>
      <w:r>
        <w:rPr>
          <w:rFonts w:hint="eastAsia" w:eastAsia="方正仿宋_GBK"/>
          <w:b/>
          <w:bCs/>
          <w:sz w:val="32"/>
          <w:szCs w:val="32"/>
        </w:rPr>
        <w:t>…</w:t>
      </w:r>
      <w:r>
        <w:rPr>
          <w:rFonts w:hint="eastAsia" w:ascii="宋体" w:hAnsi="宋体"/>
          <w:sz w:val="32"/>
          <w:szCs w:val="32"/>
        </w:rPr>
        <w:t>…………………………</w:t>
      </w:r>
      <w:r>
        <w:rPr>
          <w:rFonts w:hint="eastAsia" w:eastAsia="方正仿宋_GBK"/>
          <w:sz w:val="32"/>
          <w:szCs w:val="32"/>
        </w:rPr>
        <w:t>（97）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打造全域文明建设示范区</w:t>
      </w:r>
      <w:r>
        <w:rPr>
          <w:rFonts w:hint="eastAsia" w:ascii="宋体" w:hAnsi="宋体"/>
          <w:sz w:val="32"/>
          <w:szCs w:val="32"/>
        </w:rPr>
        <w:t>…………………………</w:t>
      </w:r>
      <w:r>
        <w:rPr>
          <w:rFonts w:hint="eastAsia" w:eastAsia="方正仿宋_GBK"/>
          <w:sz w:val="32"/>
          <w:szCs w:val="32"/>
        </w:rPr>
        <w:t>（97）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开创文旅融合发展新局面</w:t>
      </w:r>
      <w:r>
        <w:rPr>
          <w:rFonts w:hint="eastAsia" w:ascii="宋体" w:hAnsi="宋体"/>
          <w:sz w:val="32"/>
          <w:szCs w:val="32"/>
        </w:rPr>
        <w:t>…………………………</w:t>
      </w:r>
      <w:r>
        <w:rPr>
          <w:rFonts w:hint="eastAsia" w:eastAsia="方正仿宋_GBK"/>
          <w:sz w:val="32"/>
          <w:szCs w:val="32"/>
        </w:rPr>
        <w:t>（100）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推动文体事业高质量发展</w:t>
      </w:r>
      <w:r>
        <w:rPr>
          <w:rFonts w:hint="eastAsia" w:ascii="宋体" w:hAnsi="宋体"/>
          <w:sz w:val="32"/>
          <w:szCs w:val="32"/>
        </w:rPr>
        <w:t>…………………………</w:t>
      </w:r>
      <w:r>
        <w:rPr>
          <w:rFonts w:hint="eastAsia" w:eastAsia="方正仿宋_GBK"/>
          <w:sz w:val="32"/>
          <w:szCs w:val="32"/>
        </w:rPr>
        <w:t>（103）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第十六章  打造和谐幸福明星城</w:t>
      </w:r>
      <w:r>
        <w:rPr>
          <w:rFonts w:hint="eastAsia" w:ascii="宋体" w:hAnsi="宋体"/>
          <w:sz w:val="32"/>
          <w:szCs w:val="32"/>
        </w:rPr>
        <w:t>……………………………</w:t>
      </w:r>
      <w:r>
        <w:rPr>
          <w:rFonts w:hint="eastAsia" w:eastAsia="方正仿宋_GBK"/>
          <w:sz w:val="32"/>
          <w:szCs w:val="32"/>
        </w:rPr>
        <w:t>（106）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持续推进富民增收</w:t>
      </w:r>
      <w:r>
        <w:rPr>
          <w:rFonts w:hint="eastAsia" w:ascii="宋体" w:hAnsi="宋体"/>
          <w:sz w:val="32"/>
          <w:szCs w:val="32"/>
        </w:rPr>
        <w:t>…………………………………</w:t>
      </w:r>
      <w:r>
        <w:rPr>
          <w:rFonts w:hint="eastAsia" w:eastAsia="方正仿宋_GBK"/>
          <w:sz w:val="32"/>
          <w:szCs w:val="32"/>
        </w:rPr>
        <w:t>（106）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实现更高质量更充分就业</w:t>
      </w:r>
      <w:r>
        <w:rPr>
          <w:rFonts w:hint="eastAsia" w:ascii="宋体" w:hAnsi="宋体"/>
          <w:sz w:val="32"/>
          <w:szCs w:val="32"/>
        </w:rPr>
        <w:t>…………………………</w:t>
      </w:r>
      <w:r>
        <w:rPr>
          <w:rFonts w:hint="eastAsia" w:eastAsia="方正仿宋_GBK"/>
          <w:sz w:val="32"/>
          <w:szCs w:val="32"/>
        </w:rPr>
        <w:t>（107）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构建高质量现代教育体系</w:t>
      </w:r>
      <w:r>
        <w:rPr>
          <w:rFonts w:hint="eastAsia" w:ascii="宋体" w:hAnsi="宋体"/>
          <w:sz w:val="32"/>
          <w:szCs w:val="32"/>
        </w:rPr>
        <w:t>…………………………</w:t>
      </w:r>
      <w:r>
        <w:rPr>
          <w:rFonts w:hint="eastAsia" w:eastAsia="方正仿宋_GBK"/>
          <w:sz w:val="32"/>
          <w:szCs w:val="32"/>
        </w:rPr>
        <w:t>（109）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全面推进健康常州建设</w:t>
      </w:r>
      <w:r>
        <w:rPr>
          <w:rFonts w:hint="eastAsia" w:ascii="宋体" w:hAnsi="宋体"/>
          <w:sz w:val="32"/>
          <w:szCs w:val="32"/>
        </w:rPr>
        <w:t>……………………………</w:t>
      </w:r>
      <w:r>
        <w:rPr>
          <w:rFonts w:hint="eastAsia" w:eastAsia="方正仿宋_GBK"/>
          <w:sz w:val="32"/>
          <w:szCs w:val="32"/>
        </w:rPr>
        <w:t>（112）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第五节  健全多层次社会保障体系</w:t>
      </w:r>
      <w:r>
        <w:rPr>
          <w:rFonts w:hint="eastAsia" w:ascii="宋体" w:hAnsi="宋体"/>
          <w:sz w:val="32"/>
          <w:szCs w:val="32"/>
        </w:rPr>
        <w:t>…………………………</w:t>
      </w:r>
      <w:r>
        <w:rPr>
          <w:rFonts w:hint="eastAsia" w:eastAsia="方正仿宋_GBK"/>
          <w:sz w:val="32"/>
          <w:szCs w:val="32"/>
        </w:rPr>
        <w:t>（114）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第六节  促进人口长期均衡发展</w:t>
      </w:r>
      <w:r>
        <w:rPr>
          <w:rFonts w:hint="eastAsia" w:ascii="宋体" w:hAnsi="宋体"/>
          <w:sz w:val="32"/>
          <w:szCs w:val="32"/>
        </w:rPr>
        <w:t>……………………………</w:t>
      </w:r>
      <w:r>
        <w:rPr>
          <w:rFonts w:hint="eastAsia" w:eastAsia="方正仿宋_GBK"/>
          <w:sz w:val="32"/>
          <w:szCs w:val="32"/>
        </w:rPr>
        <w:t>（116）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第六篇  建设高效能治理示范城市</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第十七章  建设一流法治城市</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发展社会主义民主政治</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建设法治常州</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健全完善监督体系</w:t>
      </w:r>
      <w:r>
        <w:rPr>
          <w:rFonts w:hint="eastAsia" w:ascii="宋体" w:hAnsi="宋体"/>
          <w:sz w:val="32"/>
          <w:szCs w:val="32"/>
        </w:rPr>
        <w:t>…………………………………</w:t>
      </w:r>
      <w:r>
        <w:rPr>
          <w:rFonts w:hint="eastAsia" w:eastAsia="方正仿宋_GBK"/>
          <w:sz w:val="32"/>
          <w:szCs w:val="32"/>
        </w:rPr>
        <w:t>（121）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第十八章  推进市域治理现代化</w:t>
      </w:r>
      <w:r>
        <w:rPr>
          <w:rFonts w:hint="eastAsia" w:ascii="宋体" w:hAnsi="宋体"/>
          <w:sz w:val="32"/>
          <w:szCs w:val="32"/>
        </w:rPr>
        <w:t>……………………………</w:t>
      </w:r>
      <w:r>
        <w:rPr>
          <w:rFonts w:hint="eastAsia" w:eastAsia="方正仿宋_GBK"/>
          <w:sz w:val="32"/>
          <w:szCs w:val="32"/>
        </w:rPr>
        <w:t>（121）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加强和创新社会治理</w:t>
      </w:r>
      <w:r>
        <w:rPr>
          <w:rFonts w:hint="eastAsia" w:ascii="宋体" w:hAnsi="宋体"/>
          <w:sz w:val="32"/>
          <w:szCs w:val="32"/>
        </w:rPr>
        <w:t>………………………………</w:t>
      </w:r>
      <w:r>
        <w:rPr>
          <w:rFonts w:hint="eastAsia" w:eastAsia="方正仿宋_GBK"/>
          <w:sz w:val="32"/>
          <w:szCs w:val="32"/>
        </w:rPr>
        <w:t>（122）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打造安全发展示范城市</w:t>
      </w:r>
      <w:r>
        <w:rPr>
          <w:rFonts w:hint="eastAsia" w:ascii="宋体" w:hAnsi="宋体"/>
          <w:sz w:val="32"/>
          <w:szCs w:val="32"/>
        </w:rPr>
        <w:t>……………………………</w:t>
      </w:r>
      <w:r>
        <w:rPr>
          <w:rFonts w:hint="eastAsia" w:eastAsia="方正仿宋_GBK"/>
          <w:sz w:val="32"/>
          <w:szCs w:val="32"/>
        </w:rPr>
        <w:t>（123）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第七篇  加强规划组织实施</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第十九章  坚持和加强党的全面领导</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突出政治建设统领</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加强思想理论武装</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坚持全面从严治党</w:t>
      </w:r>
      <w:r>
        <w:rPr>
          <w:rFonts w:hint="eastAsia" w:ascii="宋体" w:hAnsi="宋体"/>
          <w:sz w:val="32"/>
          <w:szCs w:val="32"/>
        </w:rPr>
        <w:t>…………………………………</w:t>
      </w:r>
      <w:r>
        <w:rPr>
          <w:rFonts w:hint="eastAsia" w:eastAsia="方正仿宋_GBK"/>
          <w:sz w:val="32"/>
          <w:szCs w:val="32"/>
        </w:rPr>
        <w:t>（127）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加强基层党组织建设</w:t>
      </w:r>
      <w:r>
        <w:rPr>
          <w:rFonts w:hint="eastAsia" w:ascii="宋体" w:hAnsi="宋体"/>
          <w:sz w:val="32"/>
          <w:szCs w:val="32"/>
        </w:rPr>
        <w:t>………………………………</w:t>
      </w:r>
      <w:r>
        <w:rPr>
          <w:rFonts w:hint="eastAsia" w:eastAsia="方正仿宋_GBK"/>
          <w:sz w:val="32"/>
          <w:szCs w:val="32"/>
        </w:rPr>
        <w:t>（127）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第二十章  创新规划实施和保障机制</w:t>
      </w:r>
      <w:r>
        <w:rPr>
          <w:rFonts w:hint="eastAsia" w:ascii="宋体" w:hAnsi="宋体"/>
          <w:sz w:val="32"/>
          <w:szCs w:val="32"/>
        </w:rPr>
        <w:t>………………………</w:t>
      </w:r>
      <w:r>
        <w:rPr>
          <w:rFonts w:hint="eastAsia" w:eastAsia="方正仿宋_GBK"/>
          <w:sz w:val="32"/>
          <w:szCs w:val="32"/>
        </w:rPr>
        <w:t>（127）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突出重大项目支撑引领</w:t>
      </w:r>
      <w:r>
        <w:rPr>
          <w:rFonts w:hint="eastAsia" w:ascii="宋体" w:hAnsi="宋体"/>
          <w:sz w:val="32"/>
          <w:szCs w:val="32"/>
        </w:rPr>
        <w:t>……………………………</w:t>
      </w:r>
      <w:r>
        <w:rPr>
          <w:rFonts w:hint="eastAsia" w:eastAsia="方正仿宋_GBK"/>
          <w:sz w:val="32"/>
          <w:szCs w:val="32"/>
        </w:rPr>
        <w:t>（128）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完善政策协同体系建设</w:t>
      </w:r>
      <w:r>
        <w:rPr>
          <w:rFonts w:hint="eastAsia" w:ascii="宋体" w:hAnsi="宋体"/>
          <w:sz w:val="32"/>
          <w:szCs w:val="32"/>
        </w:rPr>
        <w:t>……………………………</w:t>
      </w:r>
      <w:r>
        <w:rPr>
          <w:rFonts w:hint="eastAsia" w:eastAsia="方正仿宋_GBK"/>
          <w:sz w:val="32"/>
          <w:szCs w:val="32"/>
        </w:rPr>
        <w:t>（128）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强化规划评估考核机制</w:t>
      </w:r>
      <w:r>
        <w:rPr>
          <w:rFonts w:hint="eastAsia" w:ascii="宋体" w:hAnsi="宋体"/>
          <w:sz w:val="32"/>
          <w:szCs w:val="32"/>
        </w:rPr>
        <w:t>……………………………</w:t>
      </w:r>
      <w:r>
        <w:rPr>
          <w:rFonts w:hint="eastAsia" w:eastAsia="方正仿宋_GBK"/>
          <w:sz w:val="32"/>
          <w:szCs w:val="32"/>
        </w:rPr>
        <w:t>（129）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第二十一章  广泛团结凝聚全社会力量</w:t>
      </w:r>
      <w:r>
        <w:rPr>
          <w:rFonts w:hint="eastAsia" w:eastAsia="方正仿宋_GBK"/>
          <w:sz w:val="32"/>
          <w:szCs w:val="32"/>
        </w:rPr>
        <w:tab/>
      </w:r>
      <w:r>
        <w:rPr>
          <w:rFonts w:hint="eastAsia" w:ascii="宋体" w:hAnsi="宋体"/>
          <w:sz w:val="32"/>
          <w:szCs w:val="32"/>
        </w:rPr>
        <w:t>……………………</w:t>
      </w:r>
      <w:r>
        <w:rPr>
          <w:rFonts w:hint="eastAsia" w:eastAsia="方正仿宋_GBK"/>
          <w:sz w:val="32"/>
          <w:szCs w:val="32"/>
        </w:rPr>
        <w:t>（130）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加强完善顶层设计</w:t>
      </w:r>
      <w:r>
        <w:rPr>
          <w:rFonts w:hint="eastAsia" w:ascii="宋体" w:hAnsi="宋体"/>
          <w:sz w:val="32"/>
          <w:szCs w:val="32"/>
        </w:rPr>
        <w:t>…………………………………</w:t>
      </w:r>
      <w:r>
        <w:rPr>
          <w:rFonts w:hint="eastAsia" w:eastAsia="方正仿宋_GBK"/>
          <w:sz w:val="32"/>
          <w:szCs w:val="32"/>
        </w:rPr>
        <w:t>（130）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始终坚持问计于民</w:t>
      </w:r>
      <w:r>
        <w:rPr>
          <w:rFonts w:hint="eastAsia" w:ascii="宋体" w:hAnsi="宋体"/>
          <w:sz w:val="32"/>
          <w:szCs w:val="32"/>
        </w:rPr>
        <w:t>…………………………………</w:t>
      </w:r>
      <w:r>
        <w:rPr>
          <w:rFonts w:hint="eastAsia" w:eastAsia="方正仿宋_GBK"/>
          <w:sz w:val="32"/>
          <w:szCs w:val="32"/>
        </w:rPr>
        <w:t>（131）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切实强化社会监督</w:t>
      </w:r>
      <w:r>
        <w:rPr>
          <w:rFonts w:hint="eastAsia" w:ascii="宋体" w:hAnsi="宋体"/>
          <w:sz w:val="32"/>
          <w:szCs w:val="32"/>
        </w:rPr>
        <w:t>…………………………………</w:t>
      </w:r>
      <w:r>
        <w:rPr>
          <w:rFonts w:hint="eastAsia" w:eastAsia="方正仿宋_GBK"/>
          <w:sz w:val="32"/>
          <w:szCs w:val="32"/>
        </w:rPr>
        <w:t>（131）</w:t>
      </w:r>
    </w:p>
    <w:p>
      <w:pPr>
        <w:spacing w:line="560" w:lineRule="exact"/>
        <w:jc w:val="center"/>
        <w:rPr>
          <w:rFonts w:eastAsia="方正小标宋_GBK"/>
          <w:sz w:val="32"/>
          <w:szCs w:val="32"/>
        </w:rPr>
      </w:pPr>
    </w:p>
    <w:p>
      <w:pPr>
        <w:pStyle w:val="2"/>
        <w:keepNext w:val="0"/>
        <w:keepLines w:val="0"/>
        <w:overflowPunct w:val="0"/>
        <w:autoSpaceDE w:val="0"/>
        <w:autoSpaceDN w:val="0"/>
        <w:adjustRightInd w:val="0"/>
        <w:snapToGrid w:val="0"/>
        <w:spacing w:before="0" w:after="0" w:line="570" w:lineRule="exact"/>
        <w:jc w:val="center"/>
        <w:rPr>
          <w:rFonts w:hint="eastAsia" w:ascii="方正小标宋_GBK" w:hAnsi="Times New Roman" w:eastAsia="方正小标宋_GBK"/>
          <w:b w:val="0"/>
        </w:rPr>
      </w:pPr>
      <w:r>
        <w:rPr>
          <w:rFonts w:eastAsia="方正小标宋简体"/>
          <w:sz w:val="32"/>
          <w:szCs w:val="32"/>
        </w:rPr>
        <w:br w:type="page"/>
      </w:r>
      <w:bookmarkStart w:id="3" w:name="_Toc58576625"/>
    </w:p>
    <w:p>
      <w:pPr>
        <w:pStyle w:val="2"/>
        <w:keepNext w:val="0"/>
        <w:keepLines w:val="0"/>
        <w:overflowPunct w:val="0"/>
        <w:autoSpaceDE w:val="0"/>
        <w:autoSpaceDN w:val="0"/>
        <w:adjustRightInd w:val="0"/>
        <w:snapToGrid w:val="0"/>
        <w:spacing w:before="0" w:after="0" w:line="570" w:lineRule="exact"/>
        <w:jc w:val="center"/>
        <w:rPr>
          <w:rFonts w:hint="eastAsia" w:ascii="方正小标宋_GBK" w:hAnsi="Times New Roman" w:eastAsia="方正小标宋_GBK"/>
          <w:b w:val="0"/>
        </w:rPr>
      </w:pPr>
      <w:r>
        <w:rPr>
          <w:rFonts w:hint="eastAsia" w:ascii="方正小标宋_GBK" w:hAnsi="Times New Roman" w:eastAsia="方正小标宋_GBK"/>
          <w:b w:val="0"/>
        </w:rPr>
        <w:t>序  言</w:t>
      </w:r>
      <w:bookmarkEnd w:id="0"/>
      <w:bookmarkEnd w:id="3"/>
    </w:p>
    <w:p>
      <w:pPr>
        <w:overflowPunct w:val="0"/>
        <w:autoSpaceDE w:val="0"/>
        <w:autoSpaceDN w:val="0"/>
        <w:adjustRightInd w:val="0"/>
        <w:snapToGrid w:val="0"/>
        <w:spacing w:line="570" w:lineRule="exact"/>
        <w:ind w:firstLine="640" w:firstLineChars="200"/>
        <w:rPr>
          <w:rFonts w:eastAsia="方正仿宋_GBK"/>
          <w:sz w:val="32"/>
          <w:szCs w:val="32"/>
        </w:rPr>
      </w:pPr>
    </w:p>
    <w:p>
      <w:pPr>
        <w:overflowPunct w:val="0"/>
        <w:autoSpaceDE w:val="0"/>
        <w:autoSpaceDN w:val="0"/>
        <w:adjustRightInd w:val="0"/>
        <w:snapToGrid w:val="0"/>
        <w:spacing w:line="570" w:lineRule="exact"/>
        <w:ind w:firstLine="640" w:firstLineChars="200"/>
        <w:rPr>
          <w:rFonts w:hint="eastAsia" w:eastAsia="方正仿宋_GBK"/>
          <w:sz w:val="32"/>
          <w:szCs w:val="32"/>
        </w:rPr>
      </w:pPr>
      <w:r>
        <w:rPr>
          <w:rFonts w:eastAsia="方正仿宋_GBK"/>
          <w:sz w:val="32"/>
          <w:szCs w:val="32"/>
        </w:rPr>
        <w:t>“十四五”时期是我市全面开启建设社会主义现代化新征程的起步期，是落实“争当表率、争做示范、走在前列”总纲领总要求和省委“勇争一流，争创更多第一唯一，成为全省现代化建设走在前列的一面旗帜”殷切期望的重要时期，是着力打造“国际化智造名城、长三角中轴枢纽”，推动“强富美高”新常州建设再出发的关键阶段。根据《中共常州市委关于制定常州市国民经济和社会发展第十四个五年规划和二</w:t>
      </w:r>
      <w:r>
        <w:rPr>
          <w:rFonts w:hint="eastAsia" w:eastAsia="方正仿宋_GBK"/>
          <w:snapToGrid w:val="0"/>
          <w:kern w:val="0"/>
          <w:sz w:val="32"/>
          <w:szCs w:val="32"/>
        </w:rPr>
        <w:t>○</w:t>
      </w:r>
      <w:r>
        <w:rPr>
          <w:rFonts w:eastAsia="方正仿宋_GBK"/>
          <w:sz w:val="32"/>
          <w:szCs w:val="32"/>
        </w:rPr>
        <w:t>三五年远景目标的建议》，编制《常州市国民经济和社会发展第十四个五年规划和二</w:t>
      </w:r>
      <w:r>
        <w:rPr>
          <w:rFonts w:hint="eastAsia" w:eastAsia="方正仿宋_GBK"/>
          <w:sz w:val="32"/>
          <w:szCs w:val="32"/>
        </w:rPr>
        <w:t>○</w:t>
      </w:r>
      <w:r>
        <w:rPr>
          <w:rFonts w:eastAsia="方正仿宋_GBK"/>
          <w:sz w:val="32"/>
          <w:szCs w:val="32"/>
        </w:rPr>
        <w:t>三五年远景目标纲要》，主要阐明“十四五”时期的发展思路、发展战略、主要目标、重点任务和政策取向，是政府履行职责的重要依据，是今后五年常州经济社会发展的宏伟蓝图，是全市人民共同奋斗的行动纲领。</w:t>
      </w:r>
    </w:p>
    <w:p>
      <w:pPr>
        <w:overflowPunct w:val="0"/>
        <w:autoSpaceDE w:val="0"/>
        <w:autoSpaceDN w:val="0"/>
        <w:adjustRightInd w:val="0"/>
        <w:snapToGrid w:val="0"/>
        <w:spacing w:line="570" w:lineRule="exact"/>
        <w:ind w:firstLine="640" w:firstLineChars="200"/>
        <w:rPr>
          <w:rFonts w:hint="eastAsia" w:eastAsia="方正仿宋_GBK"/>
          <w:sz w:val="32"/>
          <w:szCs w:val="32"/>
        </w:rPr>
      </w:pPr>
    </w:p>
    <w:p>
      <w:pPr>
        <w:overflowPunct w:val="0"/>
        <w:autoSpaceDE w:val="0"/>
        <w:autoSpaceDN w:val="0"/>
        <w:adjustRightInd w:val="0"/>
        <w:snapToGrid w:val="0"/>
        <w:spacing w:line="570" w:lineRule="exact"/>
        <w:ind w:firstLine="640" w:firstLineChars="200"/>
        <w:rPr>
          <w:rFonts w:hint="eastAsia" w:ascii="方正黑体_GBK" w:eastAsia="方正黑体_GBK"/>
          <w:b/>
          <w:sz w:val="32"/>
          <w:szCs w:val="32"/>
        </w:rPr>
      </w:pPr>
      <w:r>
        <w:rPr>
          <w:rFonts w:eastAsia="方正仿宋_GBK"/>
          <w:sz w:val="32"/>
          <w:szCs w:val="32"/>
        </w:rPr>
        <w:br w:type="page"/>
      </w:r>
      <w:bookmarkStart w:id="4" w:name="_Toc55403931"/>
      <w:bookmarkStart w:id="5" w:name="_Toc58576626"/>
      <w:bookmarkStart w:id="6" w:name="_Hlk53684740"/>
    </w:p>
    <w:p>
      <w:pPr>
        <w:pStyle w:val="2"/>
        <w:keepNext w:val="0"/>
        <w:keepLines w:val="0"/>
        <w:overflowPunct w:val="0"/>
        <w:autoSpaceDE w:val="0"/>
        <w:autoSpaceDN w:val="0"/>
        <w:adjustRightInd w:val="0"/>
        <w:snapToGrid w:val="0"/>
        <w:spacing w:before="0" w:after="0" w:line="570" w:lineRule="exact"/>
        <w:jc w:val="center"/>
        <w:rPr>
          <w:rFonts w:hint="eastAsia" w:ascii="方正小标宋_GBK" w:hAnsi="Times New Roman" w:eastAsia="方正小标宋_GBK"/>
          <w:b w:val="0"/>
        </w:rPr>
      </w:pPr>
      <w:r>
        <w:rPr>
          <w:rFonts w:hint="eastAsia" w:ascii="方正小标宋_GBK" w:hAnsi="Times New Roman" w:eastAsia="方正小标宋_GBK"/>
          <w:b w:val="0"/>
        </w:rPr>
        <w:t>第一篇  开启社会主义现代化建设新征程</w:t>
      </w:r>
      <w:bookmarkEnd w:id="4"/>
      <w:bookmarkEnd w:id="5"/>
    </w:p>
    <w:p>
      <w:pPr>
        <w:overflowPunct w:val="0"/>
        <w:autoSpaceDE w:val="0"/>
        <w:autoSpaceDN w:val="0"/>
        <w:adjustRightInd w:val="0"/>
        <w:snapToGrid w:val="0"/>
        <w:spacing w:line="570" w:lineRule="exact"/>
        <w:rPr>
          <w:rFonts w:eastAsia="方正仿宋_GBK"/>
        </w:rPr>
      </w:pPr>
    </w:p>
    <w:bookmarkEnd w:id="6"/>
    <w:p>
      <w:pPr>
        <w:pStyle w:val="3"/>
        <w:keepNext w:val="0"/>
        <w:keepLines w:val="0"/>
        <w:overflowPunct w:val="0"/>
        <w:autoSpaceDE w:val="0"/>
        <w:autoSpaceDN w:val="0"/>
        <w:adjustRightInd w:val="0"/>
        <w:snapToGrid w:val="0"/>
        <w:spacing w:before="0" w:after="240" w:line="570" w:lineRule="exact"/>
        <w:jc w:val="center"/>
        <w:rPr>
          <w:rFonts w:hint="eastAsia" w:ascii="方正黑体_GBK" w:hAnsi="Times New Roman" w:eastAsia="方正黑体_GBK"/>
          <w:b w:val="0"/>
        </w:rPr>
      </w:pPr>
      <w:bookmarkStart w:id="7" w:name="_Toc55403932"/>
      <w:bookmarkStart w:id="8" w:name="_Toc58576627"/>
      <w:r>
        <w:rPr>
          <w:rFonts w:hint="eastAsia" w:ascii="方正黑体_GBK" w:hAnsi="Times New Roman" w:eastAsia="方正黑体_GBK"/>
          <w:b w:val="0"/>
        </w:rPr>
        <w:t>第一章  发展基础</w:t>
      </w:r>
      <w:bookmarkEnd w:id="7"/>
      <w:bookmarkEnd w:id="8"/>
    </w:p>
    <w:p>
      <w:pPr>
        <w:overflowPunct w:val="0"/>
        <w:autoSpaceDE w:val="0"/>
        <w:autoSpaceDN w:val="0"/>
        <w:adjustRightInd w:val="0"/>
        <w:snapToGrid w:val="0"/>
        <w:spacing w:line="560" w:lineRule="exact"/>
        <w:ind w:firstLine="640" w:firstLineChars="200"/>
        <w:rPr>
          <w:rFonts w:eastAsia="方正仿宋_GBK"/>
          <w:sz w:val="32"/>
          <w:szCs w:val="32"/>
        </w:rPr>
      </w:pPr>
      <w:r>
        <w:rPr>
          <w:rFonts w:eastAsia="方正仿宋_GBK"/>
          <w:sz w:val="32"/>
          <w:szCs w:val="32"/>
        </w:rPr>
        <w:t>“十三五”时期，是市委市政府团结带领全市人民，坚定不移以习近平新时代中国特色社会主义思想为指导，积极把握重大发展机遇，有效应对前所未有风险挑战，突破一系列难题、办成一系列大事的五年；是坚定不移贯彻落实新发展理念，大力弘扬“勇争一流，耻为二手”常州精神，全力抓创新抓环境抓项目，工业智造、科教创新、文旅休闲、宜居美丽、和谐幸福明星城建设取得阶段性成果的五年；是坚持把人民对美好生活的向往作为奋斗目标，在发展中改善和保障民生，全市人民获得感幸福感安全感明显增强的五年；是全面加强党的领导，切实增强“四个意识”、坚定“四个自信”、做到“两个维护”，充分发挥广大干部群众的积极性主动性创造性，推动经济社会发展迈上新台阶，如期高水平全面建成小康社会的五年。</w:t>
      </w:r>
      <w:bookmarkStart w:id="9" w:name="_Toc55403933"/>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综合实力显著增强。经济运行稳中有进，地区生产总值达7805.3亿元，年均增长7%左右，总量是“十二五”期末的1.48倍，综合实力位居全国26位；人均地区生产总值达2.4万美元左右，是“十二五”期末的1.42倍，位居全国前10位；一般公共预算收入达616.6亿元，是“十二五”期末的1.3倍，位居全国前30位；工业一般纳税人销售达1.3万亿元，是“十二五”期末的1.56倍。经济结构不断优化，三次产业结构优化为2.1:46.3:51.6；智能制造装备、新材料、新一代信息技术等产业保持较好发展态势，战略性新兴产业十大产业链占比达到45%左右，工业强基工程项目数全国地级市第一；金融支持实体经济能力加强，金融机构各项贷款余额突破1万亿元，上市公司累计达到71家，国内上市公司数量位居全国城市20强；常州国家农业科技园区获批，农业基本现代化建设水平位列全省第一方阵；消费成为经济增长第一拉动力，社会消费品零售总额突破2400亿元，年均增长7%左右；旅游总收入超过1200亿元，年均增长13%左右，稳居全省第一方阵。</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创新驱动成效明显。</w:t>
      </w:r>
      <w:r>
        <w:rPr>
          <w:rFonts w:eastAsia="方正仿宋_GBK"/>
          <w:sz w:val="32"/>
          <w:szCs w:val="32"/>
        </w:rPr>
        <w:t>苏南国家自主创新示范区和创新型城市建设扎实推进，国家创新型城市创新能力指数列全国地级市第三，常州科教城荣获中国最佳创新园区第一名，武进获批全国首批双创示范基地，江苏中关村科技产业园获批省级高新区。全市累计新增省级以上研发机构229家，引进国家级人才工程项目22人、省“双创人才”182人、市“龙城英才”计划创新创业团队1194个；每万名劳动者中高技能人才数达1210人，位居全省第一；中国阿尔伯特大奖第一人花落常州。预计全社会研发经费支出占GDP比重提升至3%，科技进步贡献率达65.8%。高新技术企业达到2400家左右，高新技术产业产值比重达到48%左右，万人发明专利拥有量达到40.19件。</w:t>
      </w:r>
      <w:bookmarkStart w:id="10" w:name="_Toc54560512"/>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人民生活更加富足</w:t>
      </w:r>
      <w:bookmarkEnd w:id="10"/>
      <w:r>
        <w:rPr>
          <w:rFonts w:eastAsia="方正仿宋_GBK"/>
          <w:sz w:val="32"/>
          <w:szCs w:val="32"/>
        </w:rPr>
        <w:t>。超额完成城乡居民收入比2010年翻一番目标任务，城镇、农村居民人均可支配收入分别超过6万元、3.2万元，分别是“十二五”期末的1.4倍、1.46倍，城乡居民收入比缩小到1.87。城镇新增就业累计突破50万人，扶持创业4.4万人，城镇登记失业率控制在3%以下。脱贫攻坚取得显著成效，年人均可支配收入1万元以下建档立卡低收入人口全部脱贫，“两不愁三保障”较好解决，茅山老区帮扶、“阳光扶贫”深入推进，经济薄弱村集体经济年稳定收入达100万元以上。</w:t>
      </w:r>
    </w:p>
    <w:p>
      <w:pPr>
        <w:overflowPunct w:val="0"/>
        <w:autoSpaceDE w:val="0"/>
        <w:autoSpaceDN w:val="0"/>
        <w:adjustRightInd w:val="0"/>
        <w:snapToGrid w:val="0"/>
        <w:spacing w:line="570" w:lineRule="exact"/>
        <w:ind w:firstLine="640" w:firstLineChars="200"/>
        <w:rPr>
          <w:rFonts w:eastAsia="方正仿宋_GBK"/>
          <w:bCs/>
          <w:sz w:val="32"/>
          <w:szCs w:val="32"/>
        </w:rPr>
      </w:pPr>
      <w:r>
        <w:rPr>
          <w:rFonts w:eastAsia="方正仿宋_GBK"/>
          <w:sz w:val="32"/>
          <w:szCs w:val="32"/>
        </w:rPr>
        <w:t>公共服务日益健全。</w:t>
      </w:r>
      <w:r>
        <w:rPr>
          <w:rFonts w:eastAsia="方正仿宋_GBK"/>
          <w:bCs/>
          <w:sz w:val="32"/>
          <w:szCs w:val="32"/>
        </w:rPr>
        <w:t>九年义务教育巩固率和高中阶段教育毛入学率均达到100%，国家产教融合试点城市创建工作稳步推进，教育现代化发展水平显著提升。社会保障体系在城乡全覆盖的基础上待遇水平稳步提升，养老、医疗、失业三大保险综合覆盖率达到98%以上。医疗、养老、托幼、文化、体育等民生实事扎实推进，建成一批重大卫生基础设施，健康医疗大数据试点、分级诊疗制度完善和家庭医生签约服务等成效明显，“运动龙城大联赛”等群众性体育活动广泛开展。新冠肺炎疫情防控取得重大成果，奋力夺取疫情防控和经济社会发展“双胜利”。</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改革开放全面深化。</w:t>
      </w:r>
      <w:r>
        <w:rPr>
          <w:rFonts w:eastAsia="方正仿宋_GBK"/>
          <w:sz w:val="32"/>
          <w:szCs w:val="32"/>
        </w:rPr>
        <w:t>营商环境持续优化，政务服务“一网通办”扎实推进，98%以上政务服务事项实现不见面办理，“15分钟便民服务圈”基本建成，高质量实现“3550”目标任务，在全省率先实现市场主体登记和不动产登记“一城通办”。农村改革走在全国前列，率先完成农村土地承包经营权确权登记颁证工作，武进完成国家农村土地制度改革三项试点任务，改革成果被新《土地管理法》吸收。管理体制改革取得重大突破，完成市、辖市（区）党政机构改革和基层整合审批服务执法力量改革，调整优化常州经开区管理体制，推动市级部分建设事权下放，整合市级投融资平台加快转型发展。大力支持民营经济发展，在全省率先开展“两个健康”先行区试点。供给侧结构性改革扎实推进，完成“三去一降一补”阶段性任务。全方位开放合作水平提升，年进出口总额突破330亿美元，稳居外贸百强城市全国前30，五年累计实际使用外资130亿美元，世界500强投资项目累计117个，中以、中德等国际合作园区在全国形成有影响力的品牌；主动对接和落实国家战略，成功加入上海大都市圈，长三角一体化发展、苏锡常都市圈建设有序推进。</w:t>
      </w:r>
      <w:bookmarkStart w:id="11" w:name="_Toc54560513"/>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美丽常州扎实推进</w:t>
      </w:r>
      <w:bookmarkEnd w:id="11"/>
      <w:r>
        <w:rPr>
          <w:rFonts w:eastAsia="方正仿宋_GBK"/>
          <w:sz w:val="32"/>
          <w:szCs w:val="32"/>
        </w:rPr>
        <w:t>。长江生态安全带、太湖生态保护圈、武进生态保护引领区建设取得新进展，生态安全屏障进一步筑牢。大力推进植树造林，完成成片造林8.6万亩，有林地面积超100万亩，林木覆盖率达26.57%；大力开展湿地保护，全市湿地保有量7.44万公顷，自然湿地保护率达57%。建成溧阳天目湖国家森林公园和溧阳天目湖、金坛长荡湖国家湿地公园，创成国家森林城市、国家园林城市、全国绿化模范城市和省生态园林城市，溧阳建成国家生态文明建设示范市、国家园林城市。环境污染综合治理成效显著，全面落实河长制、湖长制，沿江一公里范围内危化企业全部关停，单位地区生产总值能耗、水耗持续下降，主要污染物排放削减量全面完成目标任务，市区空气达到二级标准的天数比例达到80.3%，全市域基本消除黑臭水体，国省考断面优III水质比例达到84.4%，跻身国家低碳试点城市、国家建筑垃圾资源化利用试点城市、国家餐厨废弃物资源化利用试点城市。城乡人居环境质量持续提升，全域美丽乡村建设扎实推进，累计建设美丽宜居乡村1220个，获评省级特色田园乡村20个；成为全省首批“四好农村路”示范市，溧阳“1号公路”获评“全国美丽乡村路”。高铁新城、老城厢复兴等重大工程全面推进。</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基础设施不断完善。</w:t>
      </w:r>
      <w:r>
        <w:rPr>
          <w:rFonts w:eastAsia="方正仿宋_GBK"/>
          <w:sz w:val="32"/>
          <w:szCs w:val="32"/>
        </w:rPr>
        <w:t>常泰长江大桥主体工程、南沿江城际铁路、苏锡常南部高速、溧宁高速等重大基础设施开工建设，常宜高速、溧高高速建成通车，常州机场升级为4E级，综合港务区建设扎实推进，交通枢纽地位逐步强化。轨道交通1号线建成通车，2号线全线“轨通”“电通”，交通“健康指数”列全国同类城市前列。新孟河延伸拓浚以及德胜河航道整治、魏村枢纽改扩建等工程进展顺利，锡溧漕河常州段航道整治等工程竣工验收。长江堤防防洪能力建设全省领先，基本建成中心城区及武进、溧阳城市包围圈。工业和能源互联网等新型基础设施建设扎实推进，上云企业超9000家。大唐国际金坛燃机热电联产、华润钟楼天然气分布式等一批重点能源基础设施项目建成投运，光伏发电装机累计超过110万千瓦。</w:t>
      </w:r>
      <w:bookmarkStart w:id="12" w:name="_Toc54560514"/>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社会文明有效提高</w:t>
      </w:r>
      <w:bookmarkEnd w:id="12"/>
      <w:r>
        <w:rPr>
          <w:rFonts w:eastAsia="方正仿宋_GBK"/>
          <w:sz w:val="32"/>
          <w:szCs w:val="32"/>
        </w:rPr>
        <w:t>。</w:t>
      </w:r>
      <w:r>
        <w:rPr>
          <w:rFonts w:eastAsia="方正仿宋_GBK"/>
          <w:bCs/>
          <w:sz w:val="32"/>
          <w:szCs w:val="32"/>
        </w:rPr>
        <w:t>思想文化建设取得重大进展，社会主义核心价值观深入人心，人民群众文化素质不断提高，“勇争一流，耻为二手”的常州精神得到大力弘扬。建成全域文明城市，建成461个新时代文明实践中心（所、站），社会文明程度测评指数全省第一，全国文明城市“四连冠”。文化事业和文化产业加快发展，在全国全省有影响的文艺精品力作不断涌现，基层综合性文化服务中心实现全覆盖，成为省“书香城市”建设示范市，居民综合阅读率超过95%，文化产业增加值占比达到5.8%左右。大运河文化带建设取得阶段性成果，建成青果巷历史文化街区一期，“常走大运”形成全国品牌。双拥创建成效明显，“全国双拥模范城”实现“七连冠”，省级双拥模范城（区）实现“满堂红”。</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治理体系加快构建。</w:t>
      </w:r>
      <w:r>
        <w:rPr>
          <w:rFonts w:eastAsia="方正仿宋_GBK"/>
          <w:sz w:val="32"/>
          <w:szCs w:val="32"/>
        </w:rPr>
        <w:t>法治、平安与社会信用建设全国领先，纵深推进扫黑除恶专项斗争，“打财断血”绩效居全省前列。“党员微家”“三红”网格化基层社会治理新模式不断涌现，网格化社会治理“常州标准”加快形成。探索形成新的社会阶层人士统战工作“常州模式”。扎实开展安全生产专项整治，生产安全事故起数、死亡人数明显下降，没有发生重大以上安全生产事故。全面从严治党不断深化，政治生态持续向好，党风廉政建设和反腐败工作的群众满意度持续上升。</w:t>
      </w:r>
    </w:p>
    <w:p>
      <w:pPr>
        <w:spacing w:line="560" w:lineRule="exact"/>
        <w:jc w:val="center"/>
        <w:rPr>
          <w:rFonts w:eastAsia="方正仿宋_GBK"/>
          <w:sz w:val="28"/>
          <w:szCs w:val="28"/>
        </w:rPr>
      </w:pPr>
      <w:r>
        <w:rPr>
          <w:rFonts w:eastAsia="方正仿宋_GBK"/>
          <w:sz w:val="28"/>
          <w:szCs w:val="28"/>
        </w:rPr>
        <w:t>表1-1</w:t>
      </w:r>
      <w:r>
        <w:rPr>
          <w:rFonts w:hint="eastAsia" w:eastAsia="方正仿宋_GBK"/>
          <w:sz w:val="28"/>
          <w:szCs w:val="28"/>
        </w:rPr>
        <w:t xml:space="preserve">  </w:t>
      </w:r>
      <w:r>
        <w:rPr>
          <w:rFonts w:eastAsia="方正仿宋_GBK"/>
          <w:sz w:val="28"/>
          <w:szCs w:val="28"/>
        </w:rPr>
        <w:t>市“十三五”经济社会发展主要指标完成情况</w:t>
      </w:r>
    </w:p>
    <w:tbl>
      <w:tblPr>
        <w:tblStyle w:val="6"/>
        <w:tblW w:w="88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767"/>
        <w:gridCol w:w="2380"/>
        <w:gridCol w:w="1794"/>
        <w:gridCol w:w="928"/>
        <w:gridCol w:w="1492"/>
        <w:gridCol w:w="1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397" w:hRule="atLeast"/>
          <w:tblHeader/>
          <w:jc w:val="center"/>
        </w:trPr>
        <w:tc>
          <w:tcPr>
            <w:tcW w:w="767" w:type="dxa"/>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分类</w:t>
            </w:r>
          </w:p>
        </w:tc>
        <w:tc>
          <w:tcPr>
            <w:tcW w:w="4174" w:type="dxa"/>
            <w:gridSpan w:val="2"/>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主要指标</w:t>
            </w:r>
          </w:p>
        </w:tc>
        <w:tc>
          <w:tcPr>
            <w:tcW w:w="928" w:type="dxa"/>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单位</w:t>
            </w:r>
          </w:p>
        </w:tc>
        <w:tc>
          <w:tcPr>
            <w:tcW w:w="1492" w:type="dxa"/>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规划</w:t>
            </w:r>
          </w:p>
          <w:p>
            <w:pPr>
              <w:spacing w:line="280" w:lineRule="exact"/>
              <w:jc w:val="center"/>
              <w:rPr>
                <w:rFonts w:hint="eastAsia" w:ascii="方正黑体_GBK" w:eastAsia="方正黑体_GBK"/>
                <w:szCs w:val="21"/>
              </w:rPr>
            </w:pPr>
            <w:r>
              <w:rPr>
                <w:rFonts w:hint="eastAsia" w:ascii="方正黑体_GBK" w:eastAsia="方正黑体_GBK"/>
                <w:szCs w:val="21"/>
              </w:rPr>
              <w:t>目标</w:t>
            </w:r>
          </w:p>
        </w:tc>
        <w:tc>
          <w:tcPr>
            <w:tcW w:w="1448" w:type="dxa"/>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预计完成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restart"/>
            <w:noWrap w:val="0"/>
            <w:vAlign w:val="center"/>
          </w:tcPr>
          <w:p>
            <w:pPr>
              <w:spacing w:line="280" w:lineRule="exact"/>
              <w:jc w:val="center"/>
              <w:rPr>
                <w:rFonts w:ascii="宋体" w:hAnsi="宋体"/>
                <w:szCs w:val="21"/>
              </w:rPr>
            </w:pPr>
            <w:r>
              <w:rPr>
                <w:rFonts w:ascii="宋体" w:hAnsi="宋体"/>
                <w:szCs w:val="21"/>
              </w:rPr>
              <w:t>经济</w:t>
            </w:r>
          </w:p>
          <w:p>
            <w:pPr>
              <w:spacing w:line="280" w:lineRule="exact"/>
              <w:jc w:val="center"/>
              <w:rPr>
                <w:rFonts w:ascii="宋体" w:hAnsi="宋体"/>
                <w:szCs w:val="21"/>
              </w:rPr>
            </w:pPr>
            <w:r>
              <w:rPr>
                <w:rFonts w:ascii="宋体" w:hAnsi="宋体"/>
                <w:szCs w:val="21"/>
              </w:rPr>
              <w:t>转型</w:t>
            </w:r>
          </w:p>
        </w:tc>
        <w:tc>
          <w:tcPr>
            <w:tcW w:w="4174" w:type="dxa"/>
            <w:gridSpan w:val="2"/>
            <w:noWrap w:val="0"/>
            <w:vAlign w:val="center"/>
          </w:tcPr>
          <w:p>
            <w:pPr>
              <w:rPr>
                <w:szCs w:val="21"/>
              </w:rPr>
            </w:pPr>
            <w:r>
              <w:rPr>
                <w:szCs w:val="21"/>
              </w:rPr>
              <w:t>人均地区生产总值</w:t>
            </w:r>
          </w:p>
        </w:tc>
        <w:tc>
          <w:tcPr>
            <w:tcW w:w="928" w:type="dxa"/>
            <w:noWrap w:val="0"/>
            <w:vAlign w:val="center"/>
          </w:tcPr>
          <w:p>
            <w:pPr>
              <w:jc w:val="center"/>
              <w:rPr>
                <w:szCs w:val="21"/>
              </w:rPr>
            </w:pPr>
            <w:r>
              <w:rPr>
                <w:szCs w:val="21"/>
              </w:rPr>
              <w:t>万元</w:t>
            </w:r>
          </w:p>
        </w:tc>
        <w:tc>
          <w:tcPr>
            <w:tcW w:w="1492" w:type="dxa"/>
            <w:noWrap w:val="0"/>
            <w:vAlign w:val="center"/>
          </w:tcPr>
          <w:p>
            <w:pPr>
              <w:jc w:val="center"/>
              <w:rPr>
                <w:szCs w:val="21"/>
              </w:rPr>
            </w:pPr>
            <w:r>
              <w:rPr>
                <w:szCs w:val="21"/>
              </w:rPr>
              <w:t xml:space="preserve">16 </w:t>
            </w:r>
          </w:p>
        </w:tc>
        <w:tc>
          <w:tcPr>
            <w:tcW w:w="1448" w:type="dxa"/>
            <w:noWrap w:val="0"/>
            <w:vAlign w:val="center"/>
          </w:tcPr>
          <w:p>
            <w:pPr>
              <w:jc w:val="center"/>
              <w:rPr>
                <w:szCs w:val="21"/>
              </w:rPr>
            </w:pPr>
            <w:r>
              <w:rPr>
                <w:szCs w:val="21"/>
              </w:rPr>
              <w:t>16左右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服务业占地区生产总值比重</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55左右</w:t>
            </w:r>
          </w:p>
        </w:tc>
        <w:tc>
          <w:tcPr>
            <w:tcW w:w="1448" w:type="dxa"/>
            <w:noWrap w:val="0"/>
            <w:vAlign w:val="center"/>
          </w:tcPr>
          <w:p>
            <w:pPr>
              <w:jc w:val="center"/>
              <w:rPr>
                <w:szCs w:val="21"/>
              </w:rPr>
            </w:pPr>
            <w:r>
              <w:rPr>
                <w:szCs w:val="21"/>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高新技术产业产值占规模以上工业比重</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46以上</w:t>
            </w:r>
          </w:p>
        </w:tc>
        <w:tc>
          <w:tcPr>
            <w:tcW w:w="1448" w:type="dxa"/>
            <w:noWrap w:val="0"/>
            <w:vAlign w:val="center"/>
          </w:tcPr>
          <w:p>
            <w:pPr>
              <w:jc w:val="center"/>
              <w:rPr>
                <w:szCs w:val="21"/>
              </w:rPr>
            </w:pPr>
            <w:r>
              <w:rPr>
                <w:szCs w:val="21"/>
              </w:rPr>
              <w:t>48左右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全员劳动生产率</w:t>
            </w:r>
          </w:p>
        </w:tc>
        <w:tc>
          <w:tcPr>
            <w:tcW w:w="928" w:type="dxa"/>
            <w:noWrap w:val="0"/>
            <w:vAlign w:val="center"/>
          </w:tcPr>
          <w:p>
            <w:pPr>
              <w:jc w:val="center"/>
              <w:rPr>
                <w:szCs w:val="21"/>
              </w:rPr>
            </w:pPr>
            <w:r>
              <w:rPr>
                <w:szCs w:val="21"/>
              </w:rPr>
              <w:t>万元/人</w:t>
            </w:r>
          </w:p>
        </w:tc>
        <w:tc>
          <w:tcPr>
            <w:tcW w:w="1492" w:type="dxa"/>
            <w:noWrap w:val="0"/>
            <w:vAlign w:val="center"/>
          </w:tcPr>
          <w:p>
            <w:pPr>
              <w:jc w:val="center"/>
              <w:rPr>
                <w:szCs w:val="21"/>
              </w:rPr>
            </w:pPr>
            <w:r>
              <w:rPr>
                <w:spacing w:val="-20"/>
                <w:szCs w:val="21"/>
              </w:rPr>
              <w:t>50左右（工业）</w:t>
            </w:r>
          </w:p>
        </w:tc>
        <w:tc>
          <w:tcPr>
            <w:tcW w:w="1448" w:type="dxa"/>
            <w:noWrap w:val="0"/>
            <w:vAlign w:val="center"/>
          </w:tcPr>
          <w:p>
            <w:pPr>
              <w:jc w:val="center"/>
              <w:rPr>
                <w:szCs w:val="21"/>
              </w:rPr>
            </w:pPr>
            <w:r>
              <w:rPr>
                <w:szCs w:val="21"/>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现代农业发展水平</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90以上</w:t>
            </w:r>
          </w:p>
        </w:tc>
        <w:tc>
          <w:tcPr>
            <w:tcW w:w="1448" w:type="dxa"/>
            <w:noWrap w:val="0"/>
            <w:vAlign w:val="center"/>
          </w:tcPr>
          <w:p>
            <w:pPr>
              <w:jc w:val="center"/>
              <w:rPr>
                <w:szCs w:val="21"/>
              </w:rPr>
            </w:pPr>
            <w:r>
              <w:rPr>
                <w:szCs w:val="21"/>
              </w:rP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文化产业占地区生产总值比重</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8</w:t>
            </w:r>
          </w:p>
        </w:tc>
        <w:tc>
          <w:tcPr>
            <w:tcW w:w="1448" w:type="dxa"/>
            <w:noWrap w:val="0"/>
            <w:vAlign w:val="center"/>
          </w:tcPr>
          <w:p>
            <w:pPr>
              <w:jc w:val="center"/>
              <w:rPr>
                <w:szCs w:val="21"/>
              </w:rPr>
            </w:pPr>
            <w:r>
              <w:rPr>
                <w:szCs w:val="21"/>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restart"/>
            <w:noWrap w:val="0"/>
            <w:vAlign w:val="center"/>
          </w:tcPr>
          <w:p>
            <w:pPr>
              <w:spacing w:line="280" w:lineRule="exact"/>
              <w:jc w:val="center"/>
              <w:rPr>
                <w:rFonts w:ascii="宋体" w:hAnsi="宋体"/>
                <w:szCs w:val="21"/>
              </w:rPr>
            </w:pPr>
            <w:r>
              <w:rPr>
                <w:rFonts w:ascii="宋体" w:hAnsi="宋体"/>
                <w:szCs w:val="21"/>
              </w:rPr>
              <w:t>创新</w:t>
            </w:r>
          </w:p>
          <w:p>
            <w:pPr>
              <w:spacing w:line="280" w:lineRule="exact"/>
              <w:jc w:val="center"/>
              <w:rPr>
                <w:rFonts w:ascii="宋体" w:hAnsi="宋体"/>
                <w:szCs w:val="21"/>
              </w:rPr>
            </w:pPr>
            <w:r>
              <w:rPr>
                <w:rFonts w:ascii="宋体" w:hAnsi="宋体"/>
                <w:szCs w:val="21"/>
              </w:rPr>
              <w:t>能力</w:t>
            </w:r>
          </w:p>
        </w:tc>
        <w:tc>
          <w:tcPr>
            <w:tcW w:w="4174" w:type="dxa"/>
            <w:gridSpan w:val="2"/>
            <w:noWrap w:val="0"/>
            <w:vAlign w:val="center"/>
          </w:tcPr>
          <w:p>
            <w:pPr>
              <w:rPr>
                <w:szCs w:val="21"/>
              </w:rPr>
            </w:pPr>
            <w:r>
              <w:rPr>
                <w:szCs w:val="21"/>
              </w:rPr>
              <w:t>科技进步贡献率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65</w:t>
            </w:r>
          </w:p>
        </w:tc>
        <w:tc>
          <w:tcPr>
            <w:tcW w:w="1448" w:type="dxa"/>
            <w:noWrap w:val="0"/>
            <w:vAlign w:val="center"/>
          </w:tcPr>
          <w:p>
            <w:pPr>
              <w:jc w:val="center"/>
              <w:rPr>
                <w:szCs w:val="21"/>
              </w:rPr>
            </w:pPr>
            <w:r>
              <w:rPr>
                <w:szCs w:val="21"/>
              </w:rP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全社会研发投入占地区生产总值比重</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3左右</w:t>
            </w:r>
          </w:p>
        </w:tc>
        <w:tc>
          <w:tcPr>
            <w:tcW w:w="1448" w:type="dxa"/>
            <w:noWrap w:val="0"/>
            <w:vAlign w:val="center"/>
          </w:tcPr>
          <w:p>
            <w:pPr>
              <w:jc w:val="center"/>
              <w:rPr>
                <w:szCs w:val="21"/>
              </w:rPr>
            </w:pPr>
            <w:r>
              <w:rPr>
                <w:szCs w:val="21"/>
              </w:rPr>
              <w:t>3左右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万人发明专利拥有量</w:t>
            </w:r>
          </w:p>
        </w:tc>
        <w:tc>
          <w:tcPr>
            <w:tcW w:w="928" w:type="dxa"/>
            <w:noWrap w:val="0"/>
            <w:vAlign w:val="center"/>
          </w:tcPr>
          <w:p>
            <w:pPr>
              <w:jc w:val="center"/>
              <w:rPr>
                <w:szCs w:val="21"/>
              </w:rPr>
            </w:pPr>
            <w:r>
              <w:rPr>
                <w:szCs w:val="21"/>
              </w:rPr>
              <w:t>件</w:t>
            </w:r>
          </w:p>
        </w:tc>
        <w:tc>
          <w:tcPr>
            <w:tcW w:w="1492" w:type="dxa"/>
            <w:noWrap w:val="0"/>
            <w:vAlign w:val="center"/>
          </w:tcPr>
          <w:p>
            <w:pPr>
              <w:jc w:val="center"/>
              <w:rPr>
                <w:szCs w:val="21"/>
              </w:rPr>
            </w:pPr>
            <w:r>
              <w:rPr>
                <w:szCs w:val="21"/>
              </w:rPr>
              <w:t>22</w:t>
            </w:r>
          </w:p>
        </w:tc>
        <w:tc>
          <w:tcPr>
            <w:tcW w:w="1448" w:type="dxa"/>
            <w:noWrap w:val="0"/>
            <w:vAlign w:val="center"/>
          </w:tcPr>
          <w:p>
            <w:pPr>
              <w:jc w:val="center"/>
              <w:rPr>
                <w:szCs w:val="21"/>
              </w:rPr>
            </w:pPr>
            <w:r>
              <w:rPr>
                <w:szCs w:val="21"/>
              </w:rPr>
              <w:t>40.</w:t>
            </w:r>
            <w:r>
              <w:rPr>
                <w:rFonts w:hint="eastAsia"/>
                <w:szCs w:val="21"/>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高新技术企业数</w:t>
            </w:r>
          </w:p>
        </w:tc>
        <w:tc>
          <w:tcPr>
            <w:tcW w:w="928" w:type="dxa"/>
            <w:noWrap w:val="0"/>
            <w:vAlign w:val="center"/>
          </w:tcPr>
          <w:p>
            <w:pPr>
              <w:jc w:val="center"/>
              <w:rPr>
                <w:szCs w:val="21"/>
              </w:rPr>
            </w:pPr>
            <w:r>
              <w:rPr>
                <w:szCs w:val="21"/>
              </w:rPr>
              <w:t>家</w:t>
            </w:r>
          </w:p>
        </w:tc>
        <w:tc>
          <w:tcPr>
            <w:tcW w:w="1492" w:type="dxa"/>
            <w:noWrap w:val="0"/>
            <w:vAlign w:val="center"/>
          </w:tcPr>
          <w:p>
            <w:pPr>
              <w:jc w:val="center"/>
              <w:rPr>
                <w:szCs w:val="21"/>
              </w:rPr>
            </w:pPr>
            <w:r>
              <w:rPr>
                <w:szCs w:val="21"/>
              </w:rPr>
              <w:t>1300</w:t>
            </w:r>
          </w:p>
        </w:tc>
        <w:tc>
          <w:tcPr>
            <w:tcW w:w="1448" w:type="dxa"/>
            <w:noWrap w:val="0"/>
            <w:vAlign w:val="center"/>
          </w:tcPr>
          <w:p>
            <w:pPr>
              <w:jc w:val="center"/>
              <w:rPr>
                <w:szCs w:val="21"/>
              </w:rPr>
            </w:pPr>
            <w:r>
              <w:rPr>
                <w:rFonts w:hint="eastAsia"/>
                <w:szCs w:val="21"/>
              </w:rPr>
              <w:t>2400左右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自主品牌企业增加值占地区生产总值比重</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20以上</w:t>
            </w:r>
          </w:p>
        </w:tc>
        <w:tc>
          <w:tcPr>
            <w:tcW w:w="1448" w:type="dxa"/>
            <w:noWrap w:val="0"/>
            <w:vAlign w:val="center"/>
          </w:tcPr>
          <w:p>
            <w:pPr>
              <w:jc w:val="center"/>
              <w:rPr>
                <w:szCs w:val="21"/>
              </w:rPr>
            </w:pP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restart"/>
            <w:noWrap w:val="0"/>
            <w:vAlign w:val="center"/>
          </w:tcPr>
          <w:p>
            <w:pPr>
              <w:spacing w:line="280" w:lineRule="exact"/>
              <w:jc w:val="center"/>
              <w:rPr>
                <w:rFonts w:ascii="宋体" w:hAnsi="宋体"/>
                <w:szCs w:val="21"/>
              </w:rPr>
            </w:pPr>
            <w:r>
              <w:rPr>
                <w:rFonts w:ascii="宋体" w:hAnsi="宋体"/>
                <w:szCs w:val="21"/>
              </w:rPr>
              <w:t>民生</w:t>
            </w:r>
          </w:p>
          <w:p>
            <w:pPr>
              <w:spacing w:line="280" w:lineRule="exact"/>
              <w:jc w:val="center"/>
              <w:rPr>
                <w:rFonts w:ascii="宋体" w:hAnsi="宋体"/>
                <w:szCs w:val="21"/>
              </w:rPr>
            </w:pPr>
            <w:r>
              <w:rPr>
                <w:rFonts w:ascii="宋体" w:hAnsi="宋体"/>
                <w:szCs w:val="21"/>
              </w:rPr>
              <w:t>幸福</w:t>
            </w:r>
          </w:p>
        </w:tc>
        <w:tc>
          <w:tcPr>
            <w:tcW w:w="4174" w:type="dxa"/>
            <w:gridSpan w:val="2"/>
            <w:noWrap w:val="0"/>
            <w:vAlign w:val="center"/>
          </w:tcPr>
          <w:p>
            <w:pPr>
              <w:rPr>
                <w:szCs w:val="21"/>
              </w:rPr>
            </w:pPr>
            <w:r>
              <w:rPr>
                <w:szCs w:val="21"/>
              </w:rPr>
              <w:t>城镇登记失业率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4</w:t>
            </w:r>
          </w:p>
        </w:tc>
        <w:tc>
          <w:tcPr>
            <w:tcW w:w="1448" w:type="dxa"/>
            <w:noWrap w:val="0"/>
            <w:vAlign w:val="center"/>
          </w:tcPr>
          <w:p>
            <w:pPr>
              <w:jc w:val="center"/>
              <w:rPr>
                <w:szCs w:val="21"/>
              </w:rPr>
            </w:pPr>
            <w:r>
              <w:rPr>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城乡居民收入增速</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同步经济增长</w:t>
            </w:r>
          </w:p>
        </w:tc>
        <w:tc>
          <w:tcPr>
            <w:tcW w:w="1448" w:type="dxa"/>
            <w:noWrap w:val="0"/>
            <w:vAlign w:val="center"/>
          </w:tcPr>
          <w:p>
            <w:pPr>
              <w:jc w:val="center"/>
              <w:rPr>
                <w:szCs w:val="21"/>
              </w:rPr>
            </w:pPr>
            <w:r>
              <w:rPr>
                <w:szCs w:val="21"/>
              </w:rPr>
              <w:t>快于经济增长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城乡基本养老保险覆盖率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98以上</w:t>
            </w:r>
          </w:p>
        </w:tc>
        <w:tc>
          <w:tcPr>
            <w:tcW w:w="1448" w:type="dxa"/>
            <w:noWrap w:val="0"/>
            <w:vAlign w:val="center"/>
          </w:tcPr>
          <w:p>
            <w:pPr>
              <w:jc w:val="center"/>
              <w:rPr>
                <w:szCs w:val="21"/>
              </w:rPr>
            </w:pPr>
            <w:r>
              <w:rPr>
                <w:szCs w:val="21"/>
              </w:rPr>
              <w:t>98.58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城乡基本医疗保险覆盖率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98以上</w:t>
            </w:r>
          </w:p>
        </w:tc>
        <w:tc>
          <w:tcPr>
            <w:tcW w:w="1448" w:type="dxa"/>
            <w:noWrap w:val="0"/>
            <w:vAlign w:val="center"/>
          </w:tcPr>
          <w:p>
            <w:pPr>
              <w:jc w:val="center"/>
              <w:rPr>
                <w:szCs w:val="21"/>
              </w:rPr>
            </w:pPr>
            <w:r>
              <w:rPr>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城镇住房保障体系健全率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90以上</w:t>
            </w:r>
          </w:p>
        </w:tc>
        <w:tc>
          <w:tcPr>
            <w:tcW w:w="1448" w:type="dxa"/>
            <w:noWrap w:val="0"/>
            <w:vAlign w:val="center"/>
          </w:tcPr>
          <w:p>
            <w:pPr>
              <w:jc w:val="center"/>
              <w:rPr>
                <w:szCs w:val="21"/>
              </w:rPr>
            </w:pP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人均预期寿命</w:t>
            </w:r>
          </w:p>
        </w:tc>
        <w:tc>
          <w:tcPr>
            <w:tcW w:w="928" w:type="dxa"/>
            <w:noWrap w:val="0"/>
            <w:vAlign w:val="center"/>
          </w:tcPr>
          <w:p>
            <w:pPr>
              <w:jc w:val="center"/>
              <w:rPr>
                <w:szCs w:val="21"/>
              </w:rPr>
            </w:pPr>
            <w:r>
              <w:rPr>
                <w:szCs w:val="21"/>
              </w:rPr>
              <w:t>岁</w:t>
            </w:r>
          </w:p>
        </w:tc>
        <w:tc>
          <w:tcPr>
            <w:tcW w:w="1492" w:type="dxa"/>
            <w:noWrap w:val="0"/>
            <w:vAlign w:val="center"/>
          </w:tcPr>
          <w:p>
            <w:pPr>
              <w:jc w:val="center"/>
              <w:rPr>
                <w:szCs w:val="21"/>
              </w:rPr>
            </w:pPr>
            <w:r>
              <w:rPr>
                <w:szCs w:val="21"/>
              </w:rPr>
              <w:t>80左右</w:t>
            </w:r>
          </w:p>
        </w:tc>
        <w:tc>
          <w:tcPr>
            <w:tcW w:w="1448" w:type="dxa"/>
            <w:noWrap w:val="0"/>
            <w:vAlign w:val="center"/>
          </w:tcPr>
          <w:p>
            <w:pPr>
              <w:jc w:val="center"/>
              <w:rPr>
                <w:szCs w:val="21"/>
              </w:rPr>
            </w:pPr>
            <w:r>
              <w:rPr>
                <w:szCs w:val="21"/>
              </w:rPr>
              <w:t>82</w:t>
            </w:r>
            <w:r>
              <w:rPr>
                <w:rFonts w:hint="eastAsia"/>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82"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每千人拥有医生数</w:t>
            </w:r>
          </w:p>
        </w:tc>
        <w:tc>
          <w:tcPr>
            <w:tcW w:w="928" w:type="dxa"/>
            <w:noWrap w:val="0"/>
            <w:vAlign w:val="center"/>
          </w:tcPr>
          <w:p>
            <w:pPr>
              <w:jc w:val="center"/>
              <w:rPr>
                <w:szCs w:val="21"/>
              </w:rPr>
            </w:pPr>
            <w:r>
              <w:rPr>
                <w:szCs w:val="21"/>
              </w:rPr>
              <w:t>人</w:t>
            </w:r>
          </w:p>
        </w:tc>
        <w:tc>
          <w:tcPr>
            <w:tcW w:w="1492" w:type="dxa"/>
            <w:noWrap w:val="0"/>
            <w:vAlign w:val="center"/>
          </w:tcPr>
          <w:p>
            <w:pPr>
              <w:jc w:val="center"/>
              <w:rPr>
                <w:szCs w:val="21"/>
              </w:rPr>
            </w:pPr>
            <w:r>
              <w:rPr>
                <w:szCs w:val="21"/>
              </w:rPr>
              <w:t>2.8左右</w:t>
            </w:r>
          </w:p>
        </w:tc>
        <w:tc>
          <w:tcPr>
            <w:tcW w:w="1448" w:type="dxa"/>
            <w:noWrap w:val="0"/>
            <w:vAlign w:val="center"/>
          </w:tcPr>
          <w:p>
            <w:pPr>
              <w:jc w:val="center"/>
              <w:rPr>
                <w:szCs w:val="21"/>
              </w:rPr>
            </w:pPr>
            <w:r>
              <w:rPr>
                <w:szCs w:val="21"/>
              </w:rPr>
              <w:t>3.2左右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居民体质合格率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96以上</w:t>
            </w:r>
          </w:p>
        </w:tc>
        <w:tc>
          <w:tcPr>
            <w:tcW w:w="1448" w:type="dxa"/>
            <w:noWrap w:val="0"/>
            <w:vAlign w:val="center"/>
          </w:tcPr>
          <w:p>
            <w:pPr>
              <w:jc w:val="center"/>
              <w:rPr>
                <w:szCs w:val="21"/>
              </w:rPr>
            </w:pPr>
            <w:r>
              <w:rPr>
                <w:szCs w:val="21"/>
              </w:rPr>
              <w:t>96以上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每千名老人拥有养老床位数</w:t>
            </w:r>
          </w:p>
        </w:tc>
        <w:tc>
          <w:tcPr>
            <w:tcW w:w="928" w:type="dxa"/>
            <w:noWrap w:val="0"/>
            <w:vAlign w:val="center"/>
          </w:tcPr>
          <w:p>
            <w:pPr>
              <w:jc w:val="center"/>
              <w:rPr>
                <w:szCs w:val="21"/>
              </w:rPr>
            </w:pPr>
            <w:r>
              <w:rPr>
                <w:szCs w:val="21"/>
              </w:rPr>
              <w:t>张</w:t>
            </w:r>
          </w:p>
        </w:tc>
        <w:tc>
          <w:tcPr>
            <w:tcW w:w="1492" w:type="dxa"/>
            <w:noWrap w:val="0"/>
            <w:vAlign w:val="center"/>
          </w:tcPr>
          <w:p>
            <w:pPr>
              <w:jc w:val="center"/>
              <w:rPr>
                <w:szCs w:val="21"/>
              </w:rPr>
            </w:pPr>
            <w:r>
              <w:rPr>
                <w:szCs w:val="21"/>
              </w:rPr>
              <w:t>50</w:t>
            </w:r>
          </w:p>
        </w:tc>
        <w:tc>
          <w:tcPr>
            <w:tcW w:w="1448" w:type="dxa"/>
            <w:noWrap w:val="0"/>
            <w:vAlign w:val="center"/>
          </w:tcPr>
          <w:p>
            <w:pPr>
              <w:jc w:val="center"/>
              <w:rPr>
                <w:szCs w:val="21"/>
              </w:rPr>
            </w:pPr>
            <w:r>
              <w:rPr>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城市居民公共交通出行分担率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30</w:t>
            </w:r>
          </w:p>
        </w:tc>
        <w:tc>
          <w:tcPr>
            <w:tcW w:w="1448" w:type="dxa"/>
            <w:noWrap w:val="0"/>
            <w:vAlign w:val="center"/>
          </w:tcPr>
          <w:p>
            <w:pPr>
              <w:jc w:val="center"/>
              <w:rPr>
                <w:szCs w:val="21"/>
              </w:rPr>
            </w:pPr>
            <w:r>
              <w:rPr>
                <w:szCs w:val="21"/>
              </w:rP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现代教育发展水平</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90以上</w:t>
            </w:r>
          </w:p>
        </w:tc>
        <w:tc>
          <w:tcPr>
            <w:tcW w:w="1448" w:type="dxa"/>
            <w:noWrap w:val="0"/>
            <w:vAlign w:val="center"/>
          </w:tcPr>
          <w:p>
            <w:pPr>
              <w:jc w:val="center"/>
              <w:rPr>
                <w:szCs w:val="21"/>
              </w:rPr>
            </w:pPr>
            <w:r>
              <w:rPr>
                <w:szCs w:val="21"/>
              </w:rPr>
              <w:t>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人均拥有公共文化体育设施面积</w:t>
            </w:r>
          </w:p>
        </w:tc>
        <w:tc>
          <w:tcPr>
            <w:tcW w:w="928" w:type="dxa"/>
            <w:noWrap w:val="0"/>
            <w:vAlign w:val="center"/>
          </w:tcPr>
          <w:p>
            <w:pPr>
              <w:jc w:val="center"/>
              <w:rPr>
                <w:szCs w:val="21"/>
              </w:rPr>
            </w:pPr>
            <w:r>
              <w:rPr>
                <w:szCs w:val="21"/>
              </w:rPr>
              <w:t>平方米</w:t>
            </w:r>
          </w:p>
        </w:tc>
        <w:tc>
          <w:tcPr>
            <w:tcW w:w="1492" w:type="dxa"/>
            <w:noWrap w:val="0"/>
            <w:vAlign w:val="center"/>
          </w:tcPr>
          <w:p>
            <w:pPr>
              <w:jc w:val="center"/>
              <w:rPr>
                <w:szCs w:val="21"/>
              </w:rPr>
            </w:pPr>
            <w:r>
              <w:rPr>
                <w:szCs w:val="21"/>
              </w:rPr>
              <w:t>3.8</w:t>
            </w:r>
          </w:p>
        </w:tc>
        <w:tc>
          <w:tcPr>
            <w:tcW w:w="1448" w:type="dxa"/>
            <w:noWrap w:val="0"/>
            <w:vAlign w:val="center"/>
          </w:tcPr>
          <w:p>
            <w:pPr>
              <w:jc w:val="center"/>
              <w:rPr>
                <w:szCs w:val="21"/>
              </w:rPr>
            </w:pPr>
            <w:r>
              <w:rPr>
                <w:szCs w:val="21"/>
              </w:rPr>
              <w:t>4以上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每千人食品抽检率</w:t>
            </w:r>
          </w:p>
        </w:tc>
        <w:tc>
          <w:tcPr>
            <w:tcW w:w="928" w:type="dxa"/>
            <w:noWrap w:val="0"/>
            <w:vAlign w:val="center"/>
          </w:tcPr>
          <w:p>
            <w:pPr>
              <w:jc w:val="center"/>
              <w:rPr>
                <w:szCs w:val="21"/>
              </w:rPr>
            </w:pPr>
            <w:r>
              <w:rPr>
                <w:szCs w:val="21"/>
              </w:rPr>
              <w:t>批次</w:t>
            </w:r>
          </w:p>
        </w:tc>
        <w:tc>
          <w:tcPr>
            <w:tcW w:w="1492" w:type="dxa"/>
            <w:noWrap w:val="0"/>
            <w:vAlign w:val="center"/>
          </w:tcPr>
          <w:p>
            <w:pPr>
              <w:jc w:val="center"/>
              <w:rPr>
                <w:szCs w:val="21"/>
              </w:rPr>
            </w:pPr>
            <w:r>
              <w:rPr>
                <w:szCs w:val="21"/>
              </w:rPr>
              <w:t>5以上</w:t>
            </w:r>
          </w:p>
        </w:tc>
        <w:tc>
          <w:tcPr>
            <w:tcW w:w="1448" w:type="dxa"/>
            <w:noWrap w:val="0"/>
            <w:vAlign w:val="center"/>
          </w:tcPr>
          <w:p>
            <w:pPr>
              <w:jc w:val="center"/>
              <w:rPr>
                <w:szCs w:val="21"/>
              </w:rPr>
            </w:pPr>
            <w:r>
              <w:rPr>
                <w:szCs w:val="21"/>
              </w:rP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restart"/>
            <w:noWrap w:val="0"/>
            <w:vAlign w:val="center"/>
          </w:tcPr>
          <w:p>
            <w:pPr>
              <w:spacing w:line="280" w:lineRule="exact"/>
              <w:jc w:val="center"/>
              <w:rPr>
                <w:rFonts w:ascii="宋体" w:hAnsi="宋体"/>
                <w:szCs w:val="21"/>
              </w:rPr>
            </w:pPr>
            <w:r>
              <w:rPr>
                <w:rFonts w:ascii="宋体" w:hAnsi="宋体"/>
                <w:szCs w:val="21"/>
              </w:rPr>
              <w:t>区域城市发展</w:t>
            </w:r>
          </w:p>
        </w:tc>
        <w:tc>
          <w:tcPr>
            <w:tcW w:w="4174" w:type="dxa"/>
            <w:gridSpan w:val="2"/>
            <w:noWrap w:val="0"/>
            <w:vAlign w:val="center"/>
          </w:tcPr>
          <w:p>
            <w:pPr>
              <w:rPr>
                <w:szCs w:val="21"/>
              </w:rPr>
            </w:pPr>
            <w:r>
              <w:rPr>
                <w:szCs w:val="21"/>
              </w:rPr>
              <w:t>常住人口城镇化率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75</w:t>
            </w:r>
          </w:p>
        </w:tc>
        <w:tc>
          <w:tcPr>
            <w:tcW w:w="1448" w:type="dxa"/>
            <w:noWrap w:val="0"/>
            <w:vAlign w:val="center"/>
          </w:tcPr>
          <w:p>
            <w:pPr>
              <w:jc w:val="center"/>
              <w:rPr>
                <w:szCs w:val="21"/>
              </w:rPr>
            </w:pPr>
            <w:r>
              <w:rPr>
                <w:szCs w:val="21"/>
              </w:rPr>
              <w:t>75左右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建设空间比例</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28以内</w:t>
            </w:r>
          </w:p>
        </w:tc>
        <w:tc>
          <w:tcPr>
            <w:tcW w:w="1448" w:type="dxa"/>
            <w:noWrap w:val="0"/>
            <w:vAlign w:val="center"/>
          </w:tcPr>
          <w:p>
            <w:pPr>
              <w:jc w:val="center"/>
              <w:rPr>
                <w:szCs w:val="21"/>
              </w:rPr>
            </w:pPr>
            <w:r>
              <w:rPr>
                <w:szCs w:val="21"/>
              </w:rPr>
              <w:t>27.52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生态空间比例</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28</w:t>
            </w:r>
          </w:p>
        </w:tc>
        <w:tc>
          <w:tcPr>
            <w:tcW w:w="1448" w:type="dxa"/>
            <w:noWrap w:val="0"/>
            <w:vAlign w:val="center"/>
          </w:tcPr>
          <w:p>
            <w:pPr>
              <w:jc w:val="center"/>
              <w:rPr>
                <w:szCs w:val="21"/>
              </w:rPr>
            </w:pP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restart"/>
            <w:noWrap w:val="0"/>
            <w:vAlign w:val="center"/>
          </w:tcPr>
          <w:p>
            <w:pPr>
              <w:spacing w:line="280" w:lineRule="exact"/>
              <w:jc w:val="center"/>
              <w:rPr>
                <w:rFonts w:ascii="宋体" w:hAnsi="宋体"/>
                <w:szCs w:val="21"/>
              </w:rPr>
            </w:pPr>
            <w:r>
              <w:rPr>
                <w:rFonts w:ascii="宋体" w:hAnsi="宋体"/>
                <w:szCs w:val="21"/>
              </w:rPr>
              <w:t>能源</w:t>
            </w:r>
          </w:p>
          <w:p>
            <w:pPr>
              <w:spacing w:line="280" w:lineRule="exact"/>
              <w:jc w:val="center"/>
              <w:rPr>
                <w:rFonts w:ascii="宋体" w:hAnsi="宋体"/>
                <w:szCs w:val="21"/>
              </w:rPr>
            </w:pPr>
            <w:r>
              <w:rPr>
                <w:rFonts w:ascii="宋体" w:hAnsi="宋体"/>
                <w:szCs w:val="21"/>
              </w:rPr>
              <w:t>环境</w:t>
            </w:r>
          </w:p>
        </w:tc>
        <w:tc>
          <w:tcPr>
            <w:tcW w:w="4174" w:type="dxa"/>
            <w:gridSpan w:val="2"/>
            <w:noWrap w:val="0"/>
            <w:vAlign w:val="center"/>
          </w:tcPr>
          <w:p>
            <w:pPr>
              <w:rPr>
                <w:szCs w:val="21"/>
              </w:rPr>
            </w:pPr>
            <w:r>
              <w:rPr>
                <w:szCs w:val="21"/>
              </w:rPr>
              <w:t>单位地区生产总值能耗降低率</w:t>
            </w:r>
          </w:p>
        </w:tc>
        <w:tc>
          <w:tcPr>
            <w:tcW w:w="928" w:type="dxa"/>
            <w:noWrap w:val="0"/>
            <w:vAlign w:val="center"/>
          </w:tcPr>
          <w:p>
            <w:pPr>
              <w:jc w:val="center"/>
              <w:rPr>
                <w:szCs w:val="21"/>
              </w:rPr>
            </w:pPr>
            <w:r>
              <w:rPr>
                <w:szCs w:val="21"/>
              </w:rPr>
              <w:t>%</w:t>
            </w:r>
          </w:p>
        </w:tc>
        <w:tc>
          <w:tcPr>
            <w:tcW w:w="1492" w:type="dxa"/>
            <w:vMerge w:val="restart"/>
            <w:noWrap w:val="0"/>
            <w:vAlign w:val="center"/>
          </w:tcPr>
          <w:p>
            <w:pPr>
              <w:ind w:left="-105" w:leftChars="-50" w:right="-105" w:rightChars="-50"/>
              <w:jc w:val="center"/>
              <w:rPr>
                <w:szCs w:val="21"/>
              </w:rPr>
            </w:pPr>
            <w:r>
              <w:rPr>
                <w:szCs w:val="21"/>
              </w:rPr>
              <w:t>根据国家、省目标任务另行下达</w:t>
            </w:r>
          </w:p>
        </w:tc>
        <w:tc>
          <w:tcPr>
            <w:tcW w:w="1448" w:type="dxa"/>
            <w:noWrap w:val="0"/>
            <w:vAlign w:val="center"/>
          </w:tcPr>
          <w:p>
            <w:pPr>
              <w:jc w:val="center"/>
              <w:rPr>
                <w:szCs w:val="21"/>
              </w:rPr>
            </w:pPr>
            <w:r>
              <w:rPr>
                <w:rFonts w:hint="eastAsia"/>
                <w:szCs w:val="21"/>
              </w:rPr>
              <w:t>20.3左右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单位地区生产总值二氧化碳排放降低率</w:t>
            </w:r>
          </w:p>
        </w:tc>
        <w:tc>
          <w:tcPr>
            <w:tcW w:w="928" w:type="dxa"/>
            <w:noWrap w:val="0"/>
            <w:vAlign w:val="center"/>
          </w:tcPr>
          <w:p>
            <w:pPr>
              <w:jc w:val="center"/>
              <w:rPr>
                <w:szCs w:val="21"/>
              </w:rPr>
            </w:pPr>
            <w:r>
              <w:rPr>
                <w:szCs w:val="21"/>
              </w:rPr>
              <w:t>%</w:t>
            </w:r>
          </w:p>
        </w:tc>
        <w:tc>
          <w:tcPr>
            <w:tcW w:w="1492" w:type="dxa"/>
            <w:vMerge w:val="continue"/>
            <w:noWrap w:val="0"/>
            <w:vAlign w:val="center"/>
          </w:tcPr>
          <w:p>
            <w:pPr>
              <w:jc w:val="center"/>
              <w:rPr>
                <w:szCs w:val="21"/>
              </w:rPr>
            </w:pPr>
          </w:p>
        </w:tc>
        <w:tc>
          <w:tcPr>
            <w:tcW w:w="1448" w:type="dxa"/>
            <w:noWrap w:val="0"/>
            <w:vAlign w:val="center"/>
          </w:tcPr>
          <w:p>
            <w:pPr>
              <w:jc w:val="center"/>
              <w:rPr>
                <w:szCs w:val="21"/>
              </w:rPr>
            </w:pPr>
            <w:r>
              <w:rPr>
                <w:szCs w:val="21"/>
              </w:rPr>
              <w:t>20以上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单位地区生产总值水耗降低率</w:t>
            </w:r>
          </w:p>
        </w:tc>
        <w:tc>
          <w:tcPr>
            <w:tcW w:w="928" w:type="dxa"/>
            <w:noWrap w:val="0"/>
            <w:vAlign w:val="center"/>
          </w:tcPr>
          <w:p>
            <w:pPr>
              <w:jc w:val="center"/>
              <w:rPr>
                <w:szCs w:val="21"/>
              </w:rPr>
            </w:pPr>
            <w:r>
              <w:rPr>
                <w:szCs w:val="21"/>
              </w:rPr>
              <w:t>%</w:t>
            </w:r>
          </w:p>
        </w:tc>
        <w:tc>
          <w:tcPr>
            <w:tcW w:w="1492" w:type="dxa"/>
            <w:vMerge w:val="continue"/>
            <w:noWrap w:val="0"/>
            <w:vAlign w:val="center"/>
          </w:tcPr>
          <w:p>
            <w:pPr>
              <w:jc w:val="center"/>
              <w:rPr>
                <w:szCs w:val="21"/>
              </w:rPr>
            </w:pPr>
          </w:p>
        </w:tc>
        <w:tc>
          <w:tcPr>
            <w:tcW w:w="1448" w:type="dxa"/>
            <w:noWrap w:val="0"/>
            <w:vAlign w:val="center"/>
          </w:tcPr>
          <w:p>
            <w:pPr>
              <w:jc w:val="center"/>
              <w:rPr>
                <w:szCs w:val="21"/>
              </w:rPr>
            </w:pPr>
            <w:r>
              <w:rPr>
                <w:szCs w:val="21"/>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单位地区生产总值占用建设用地下降率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30.9</w:t>
            </w:r>
          </w:p>
        </w:tc>
        <w:tc>
          <w:tcPr>
            <w:tcW w:w="1448" w:type="dxa"/>
            <w:noWrap w:val="0"/>
            <w:vAlign w:val="center"/>
          </w:tcPr>
          <w:p>
            <w:pPr>
              <w:jc w:val="center"/>
              <w:rPr>
                <w:szCs w:val="21"/>
              </w:rPr>
            </w:pPr>
            <w:r>
              <w:rPr>
                <w:szCs w:val="21"/>
              </w:rPr>
              <w:t>30左右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restart"/>
            <w:noWrap w:val="0"/>
            <w:vAlign w:val="center"/>
          </w:tcPr>
          <w:p>
            <w:pPr>
              <w:spacing w:line="280" w:lineRule="exact"/>
              <w:jc w:val="center"/>
              <w:rPr>
                <w:rFonts w:ascii="宋体" w:hAnsi="宋体"/>
                <w:szCs w:val="21"/>
              </w:rPr>
            </w:pPr>
            <w:r>
              <w:rPr>
                <w:rFonts w:ascii="宋体" w:hAnsi="宋体"/>
                <w:szCs w:val="21"/>
              </w:rPr>
              <w:t>能源</w:t>
            </w:r>
          </w:p>
          <w:p>
            <w:pPr>
              <w:spacing w:line="280" w:lineRule="exact"/>
              <w:jc w:val="center"/>
              <w:rPr>
                <w:rFonts w:ascii="宋体" w:hAnsi="宋体"/>
                <w:szCs w:val="21"/>
              </w:rPr>
            </w:pPr>
            <w:r>
              <w:rPr>
                <w:rFonts w:ascii="宋体" w:hAnsi="宋体"/>
                <w:szCs w:val="21"/>
              </w:rPr>
              <w:t>环境</w:t>
            </w:r>
          </w:p>
        </w:tc>
        <w:tc>
          <w:tcPr>
            <w:tcW w:w="2380" w:type="dxa"/>
            <w:vMerge w:val="restart"/>
            <w:noWrap w:val="0"/>
            <w:vAlign w:val="center"/>
          </w:tcPr>
          <w:p>
            <w:pPr>
              <w:rPr>
                <w:szCs w:val="21"/>
              </w:rPr>
            </w:pPr>
            <w:r>
              <w:rPr>
                <w:szCs w:val="21"/>
              </w:rPr>
              <w:t>主要污染物排放减少率</w:t>
            </w:r>
          </w:p>
        </w:tc>
        <w:tc>
          <w:tcPr>
            <w:tcW w:w="1794" w:type="dxa"/>
            <w:noWrap w:val="0"/>
            <w:vAlign w:val="center"/>
          </w:tcPr>
          <w:p>
            <w:pPr>
              <w:rPr>
                <w:szCs w:val="21"/>
              </w:rPr>
            </w:pPr>
            <w:r>
              <w:rPr>
                <w:szCs w:val="21"/>
              </w:rPr>
              <w:t>化学需氧量</w:t>
            </w:r>
          </w:p>
        </w:tc>
        <w:tc>
          <w:tcPr>
            <w:tcW w:w="928" w:type="dxa"/>
            <w:noWrap w:val="0"/>
            <w:vAlign w:val="center"/>
          </w:tcPr>
          <w:p>
            <w:pPr>
              <w:jc w:val="center"/>
              <w:rPr>
                <w:szCs w:val="21"/>
              </w:rPr>
            </w:pPr>
            <w:r>
              <w:rPr>
                <w:szCs w:val="21"/>
              </w:rPr>
              <w:t>%</w:t>
            </w:r>
          </w:p>
        </w:tc>
        <w:tc>
          <w:tcPr>
            <w:tcW w:w="1492" w:type="dxa"/>
            <w:vMerge w:val="restart"/>
            <w:noWrap w:val="0"/>
            <w:vAlign w:val="center"/>
          </w:tcPr>
          <w:p>
            <w:pPr>
              <w:jc w:val="center"/>
              <w:rPr>
                <w:szCs w:val="21"/>
              </w:rPr>
            </w:pPr>
            <w:r>
              <w:rPr>
                <w:spacing w:val="-20"/>
                <w:szCs w:val="21"/>
              </w:rPr>
              <w:t>根据国家、省目标任务另行下达</w:t>
            </w:r>
          </w:p>
        </w:tc>
        <w:tc>
          <w:tcPr>
            <w:tcW w:w="1448" w:type="dxa"/>
            <w:vMerge w:val="restart"/>
            <w:noWrap w:val="0"/>
            <w:vAlign w:val="center"/>
          </w:tcPr>
          <w:p>
            <w:pPr>
              <w:jc w:val="center"/>
              <w:rPr>
                <w:szCs w:val="21"/>
              </w:rPr>
            </w:pPr>
            <w:r>
              <w:rPr>
                <w:szCs w:val="21"/>
              </w:rPr>
              <w:t>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2380" w:type="dxa"/>
            <w:vMerge w:val="continue"/>
            <w:noWrap w:val="0"/>
            <w:vAlign w:val="center"/>
          </w:tcPr>
          <w:p>
            <w:pPr>
              <w:rPr>
                <w:szCs w:val="21"/>
              </w:rPr>
            </w:pPr>
          </w:p>
        </w:tc>
        <w:tc>
          <w:tcPr>
            <w:tcW w:w="1794" w:type="dxa"/>
            <w:noWrap w:val="0"/>
            <w:vAlign w:val="center"/>
          </w:tcPr>
          <w:p>
            <w:pPr>
              <w:rPr>
                <w:szCs w:val="21"/>
              </w:rPr>
            </w:pPr>
            <w:r>
              <w:rPr>
                <w:szCs w:val="21"/>
              </w:rPr>
              <w:t>二氧化硫</w:t>
            </w:r>
          </w:p>
        </w:tc>
        <w:tc>
          <w:tcPr>
            <w:tcW w:w="928" w:type="dxa"/>
            <w:noWrap w:val="0"/>
            <w:vAlign w:val="center"/>
          </w:tcPr>
          <w:p>
            <w:pPr>
              <w:jc w:val="center"/>
              <w:rPr>
                <w:szCs w:val="21"/>
              </w:rPr>
            </w:pPr>
            <w:r>
              <w:rPr>
                <w:szCs w:val="21"/>
              </w:rPr>
              <w:t>%</w:t>
            </w:r>
          </w:p>
        </w:tc>
        <w:tc>
          <w:tcPr>
            <w:tcW w:w="1492" w:type="dxa"/>
            <w:vMerge w:val="continue"/>
            <w:noWrap w:val="0"/>
            <w:vAlign w:val="center"/>
          </w:tcPr>
          <w:p>
            <w:pPr>
              <w:jc w:val="center"/>
              <w:rPr>
                <w:szCs w:val="21"/>
              </w:rPr>
            </w:pPr>
          </w:p>
        </w:tc>
        <w:tc>
          <w:tcPr>
            <w:tcW w:w="1448" w:type="dxa"/>
            <w:vMerge w:val="continue"/>
            <w:noWrap w:val="0"/>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2380" w:type="dxa"/>
            <w:vMerge w:val="continue"/>
            <w:noWrap w:val="0"/>
            <w:vAlign w:val="center"/>
          </w:tcPr>
          <w:p>
            <w:pPr>
              <w:rPr>
                <w:szCs w:val="21"/>
              </w:rPr>
            </w:pPr>
          </w:p>
        </w:tc>
        <w:tc>
          <w:tcPr>
            <w:tcW w:w="1794" w:type="dxa"/>
            <w:noWrap w:val="0"/>
            <w:vAlign w:val="center"/>
          </w:tcPr>
          <w:p>
            <w:pPr>
              <w:rPr>
                <w:szCs w:val="21"/>
              </w:rPr>
            </w:pPr>
            <w:r>
              <w:rPr>
                <w:szCs w:val="21"/>
              </w:rPr>
              <w:t>氨氮</w:t>
            </w:r>
          </w:p>
        </w:tc>
        <w:tc>
          <w:tcPr>
            <w:tcW w:w="928" w:type="dxa"/>
            <w:noWrap w:val="0"/>
            <w:vAlign w:val="center"/>
          </w:tcPr>
          <w:p>
            <w:pPr>
              <w:jc w:val="center"/>
              <w:rPr>
                <w:szCs w:val="21"/>
              </w:rPr>
            </w:pPr>
            <w:r>
              <w:rPr>
                <w:szCs w:val="21"/>
              </w:rPr>
              <w:t>%</w:t>
            </w:r>
          </w:p>
        </w:tc>
        <w:tc>
          <w:tcPr>
            <w:tcW w:w="1492" w:type="dxa"/>
            <w:vMerge w:val="continue"/>
            <w:noWrap w:val="0"/>
            <w:vAlign w:val="center"/>
          </w:tcPr>
          <w:p>
            <w:pPr>
              <w:jc w:val="center"/>
              <w:rPr>
                <w:szCs w:val="21"/>
              </w:rPr>
            </w:pPr>
          </w:p>
        </w:tc>
        <w:tc>
          <w:tcPr>
            <w:tcW w:w="1448" w:type="dxa"/>
            <w:vMerge w:val="continue"/>
            <w:noWrap w:val="0"/>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2380" w:type="dxa"/>
            <w:vMerge w:val="continue"/>
            <w:noWrap w:val="0"/>
            <w:vAlign w:val="center"/>
          </w:tcPr>
          <w:p>
            <w:pPr>
              <w:rPr>
                <w:szCs w:val="21"/>
              </w:rPr>
            </w:pPr>
          </w:p>
        </w:tc>
        <w:tc>
          <w:tcPr>
            <w:tcW w:w="1794" w:type="dxa"/>
            <w:noWrap w:val="0"/>
            <w:vAlign w:val="center"/>
          </w:tcPr>
          <w:p>
            <w:pPr>
              <w:rPr>
                <w:szCs w:val="21"/>
              </w:rPr>
            </w:pPr>
            <w:r>
              <w:rPr>
                <w:szCs w:val="21"/>
              </w:rPr>
              <w:t>氮氧化物</w:t>
            </w:r>
          </w:p>
        </w:tc>
        <w:tc>
          <w:tcPr>
            <w:tcW w:w="928" w:type="dxa"/>
            <w:noWrap w:val="0"/>
            <w:vAlign w:val="center"/>
          </w:tcPr>
          <w:p>
            <w:pPr>
              <w:jc w:val="center"/>
              <w:rPr>
                <w:szCs w:val="21"/>
              </w:rPr>
            </w:pPr>
            <w:r>
              <w:rPr>
                <w:szCs w:val="21"/>
              </w:rPr>
              <w:t>%</w:t>
            </w:r>
          </w:p>
        </w:tc>
        <w:tc>
          <w:tcPr>
            <w:tcW w:w="1492" w:type="dxa"/>
            <w:vMerge w:val="continue"/>
            <w:noWrap w:val="0"/>
            <w:vAlign w:val="center"/>
          </w:tcPr>
          <w:p>
            <w:pPr>
              <w:jc w:val="center"/>
              <w:rPr>
                <w:szCs w:val="21"/>
              </w:rPr>
            </w:pPr>
          </w:p>
        </w:tc>
        <w:tc>
          <w:tcPr>
            <w:tcW w:w="1448" w:type="dxa"/>
            <w:vMerge w:val="continue"/>
            <w:noWrap w:val="0"/>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空气质量达到二级标准的天数比例</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70以上</w:t>
            </w:r>
          </w:p>
        </w:tc>
        <w:tc>
          <w:tcPr>
            <w:tcW w:w="1448" w:type="dxa"/>
            <w:noWrap w:val="0"/>
            <w:vAlign w:val="center"/>
          </w:tcPr>
          <w:p>
            <w:pPr>
              <w:jc w:val="center"/>
              <w:rPr>
                <w:szCs w:val="21"/>
              </w:rPr>
            </w:pPr>
            <w:r>
              <w:rPr>
                <w:rFonts w:hint="eastAsia"/>
                <w:szCs w:val="21"/>
              </w:rPr>
              <w:t>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rFonts w:hint="eastAsia"/>
                <w:szCs w:val="21"/>
              </w:rPr>
              <w:t>PM2.5</w:t>
            </w:r>
            <w:r>
              <w:rPr>
                <w:szCs w:val="21"/>
              </w:rPr>
              <w:t>浓度较2013年下降率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33</w:t>
            </w:r>
          </w:p>
        </w:tc>
        <w:tc>
          <w:tcPr>
            <w:tcW w:w="1448" w:type="dxa"/>
            <w:noWrap w:val="0"/>
            <w:vAlign w:val="center"/>
          </w:tcPr>
          <w:p>
            <w:pPr>
              <w:jc w:val="center"/>
              <w:rPr>
                <w:szCs w:val="21"/>
              </w:rPr>
            </w:pPr>
            <w:r>
              <w:rPr>
                <w:rFonts w:hint="eastAsia"/>
                <w:szCs w:val="21"/>
              </w:rP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地表水国控断面优于Ⅲ类水质比例</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70左右</w:t>
            </w:r>
          </w:p>
        </w:tc>
        <w:tc>
          <w:tcPr>
            <w:tcW w:w="1448" w:type="dxa"/>
            <w:noWrap w:val="0"/>
            <w:vAlign w:val="center"/>
          </w:tcPr>
          <w:p>
            <w:pPr>
              <w:jc w:val="center"/>
              <w:rPr>
                <w:szCs w:val="21"/>
              </w:rPr>
            </w:pPr>
            <w:r>
              <w:rPr>
                <w:szCs w:val="21"/>
              </w:rPr>
              <w:t>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林木覆盖率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25以上</w:t>
            </w:r>
          </w:p>
        </w:tc>
        <w:tc>
          <w:tcPr>
            <w:tcW w:w="1448" w:type="dxa"/>
            <w:noWrap w:val="0"/>
            <w:vAlign w:val="center"/>
          </w:tcPr>
          <w:p>
            <w:pPr>
              <w:jc w:val="center"/>
              <w:rPr>
                <w:szCs w:val="21"/>
              </w:rPr>
            </w:pPr>
            <w:r>
              <w:rPr>
                <w:szCs w:val="21"/>
              </w:rP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城镇绿化覆盖率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40以上</w:t>
            </w:r>
          </w:p>
        </w:tc>
        <w:tc>
          <w:tcPr>
            <w:tcW w:w="1448" w:type="dxa"/>
            <w:noWrap w:val="0"/>
            <w:vAlign w:val="center"/>
          </w:tcPr>
          <w:p>
            <w:pPr>
              <w:jc w:val="center"/>
              <w:rPr>
                <w:szCs w:val="21"/>
              </w:rPr>
            </w:pPr>
            <w:r>
              <w:rPr>
                <w:szCs w:val="21"/>
              </w:rPr>
              <w:t>43.25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center"/>
          </w:tcPr>
          <w:p>
            <w:pPr>
              <w:spacing w:line="280" w:lineRule="exact"/>
              <w:jc w:val="center"/>
              <w:rPr>
                <w:rFonts w:ascii="宋体" w:hAnsi="宋体"/>
                <w:szCs w:val="21"/>
              </w:rPr>
            </w:pPr>
          </w:p>
        </w:tc>
        <w:tc>
          <w:tcPr>
            <w:tcW w:w="4174" w:type="dxa"/>
            <w:gridSpan w:val="2"/>
            <w:noWrap w:val="0"/>
            <w:vAlign w:val="center"/>
          </w:tcPr>
          <w:p>
            <w:pPr>
              <w:rPr>
                <w:szCs w:val="21"/>
              </w:rPr>
            </w:pPr>
            <w:r>
              <w:rPr>
                <w:szCs w:val="21"/>
              </w:rPr>
              <w:t>城镇污水处理达标率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100</w:t>
            </w:r>
          </w:p>
        </w:tc>
        <w:tc>
          <w:tcPr>
            <w:tcW w:w="1448" w:type="dxa"/>
            <w:noWrap w:val="0"/>
            <w:vAlign w:val="center"/>
          </w:tcPr>
          <w:p>
            <w:pPr>
              <w:jc w:val="center"/>
              <w:rPr>
                <w:szCs w:val="21"/>
              </w:rPr>
            </w:pPr>
            <w:r>
              <w:rPr>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restart"/>
            <w:noWrap w:val="0"/>
            <w:vAlign w:val="center"/>
          </w:tcPr>
          <w:p>
            <w:pPr>
              <w:spacing w:line="280" w:lineRule="exact"/>
              <w:jc w:val="center"/>
              <w:rPr>
                <w:rFonts w:ascii="宋体" w:hAnsi="宋体"/>
                <w:szCs w:val="21"/>
              </w:rPr>
            </w:pPr>
            <w:r>
              <w:rPr>
                <w:rFonts w:ascii="宋体" w:hAnsi="宋体"/>
                <w:szCs w:val="21"/>
              </w:rPr>
              <w:t>民主</w:t>
            </w:r>
          </w:p>
          <w:p>
            <w:pPr>
              <w:spacing w:line="280" w:lineRule="exact"/>
              <w:jc w:val="center"/>
              <w:rPr>
                <w:rFonts w:ascii="宋体" w:hAnsi="宋体"/>
                <w:szCs w:val="21"/>
              </w:rPr>
            </w:pPr>
            <w:r>
              <w:rPr>
                <w:rFonts w:ascii="宋体" w:hAnsi="宋体"/>
                <w:szCs w:val="21"/>
              </w:rPr>
              <w:t>法治</w:t>
            </w:r>
          </w:p>
        </w:tc>
        <w:tc>
          <w:tcPr>
            <w:tcW w:w="4174" w:type="dxa"/>
            <w:gridSpan w:val="2"/>
            <w:noWrap w:val="0"/>
            <w:vAlign w:val="center"/>
          </w:tcPr>
          <w:p>
            <w:pPr>
              <w:rPr>
                <w:szCs w:val="21"/>
              </w:rPr>
            </w:pPr>
            <w:r>
              <w:rPr>
                <w:szCs w:val="21"/>
              </w:rPr>
              <w:t>法治政府建设满意率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90以上</w:t>
            </w:r>
          </w:p>
        </w:tc>
        <w:tc>
          <w:tcPr>
            <w:tcW w:w="1448" w:type="dxa"/>
            <w:noWrap w:val="0"/>
            <w:vAlign w:val="center"/>
          </w:tcPr>
          <w:p>
            <w:pPr>
              <w:jc w:val="center"/>
              <w:rPr>
                <w:szCs w:val="21"/>
              </w:rPr>
            </w:pPr>
            <w:r>
              <w:rPr>
                <w:szCs w:val="21"/>
              </w:rP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top"/>
          </w:tcPr>
          <w:p>
            <w:pPr>
              <w:rPr>
                <w:szCs w:val="21"/>
              </w:rPr>
            </w:pPr>
          </w:p>
        </w:tc>
        <w:tc>
          <w:tcPr>
            <w:tcW w:w="4174" w:type="dxa"/>
            <w:gridSpan w:val="2"/>
            <w:noWrap w:val="0"/>
            <w:vAlign w:val="center"/>
          </w:tcPr>
          <w:p>
            <w:pPr>
              <w:rPr>
                <w:szCs w:val="21"/>
              </w:rPr>
            </w:pPr>
            <w:r>
              <w:rPr>
                <w:szCs w:val="21"/>
              </w:rPr>
              <w:t>城乡和谐社区建设达标率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98以上</w:t>
            </w:r>
          </w:p>
        </w:tc>
        <w:tc>
          <w:tcPr>
            <w:tcW w:w="1448" w:type="dxa"/>
            <w:noWrap w:val="0"/>
            <w:vAlign w:val="center"/>
          </w:tcPr>
          <w:p>
            <w:pPr>
              <w:jc w:val="center"/>
              <w:rPr>
                <w:szCs w:val="21"/>
              </w:rPr>
            </w:pPr>
            <w:r>
              <w:rPr>
                <w:szCs w:val="21"/>
              </w:rPr>
              <w:t>98以上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top"/>
          </w:tcPr>
          <w:p>
            <w:pPr>
              <w:rPr>
                <w:szCs w:val="21"/>
              </w:rPr>
            </w:pPr>
          </w:p>
        </w:tc>
        <w:tc>
          <w:tcPr>
            <w:tcW w:w="4174" w:type="dxa"/>
            <w:gridSpan w:val="2"/>
            <w:noWrap w:val="0"/>
            <w:vAlign w:val="center"/>
          </w:tcPr>
          <w:p>
            <w:pPr>
              <w:rPr>
                <w:szCs w:val="21"/>
              </w:rPr>
            </w:pPr>
            <w:r>
              <w:rPr>
                <w:szCs w:val="21"/>
              </w:rPr>
              <w:t>每万人拥有社会组织数</w:t>
            </w:r>
          </w:p>
        </w:tc>
        <w:tc>
          <w:tcPr>
            <w:tcW w:w="928" w:type="dxa"/>
            <w:noWrap w:val="0"/>
            <w:vAlign w:val="center"/>
          </w:tcPr>
          <w:p>
            <w:pPr>
              <w:jc w:val="center"/>
              <w:rPr>
                <w:szCs w:val="21"/>
              </w:rPr>
            </w:pPr>
            <w:r>
              <w:rPr>
                <w:szCs w:val="21"/>
              </w:rPr>
              <w:t>个</w:t>
            </w:r>
          </w:p>
        </w:tc>
        <w:tc>
          <w:tcPr>
            <w:tcW w:w="1492" w:type="dxa"/>
            <w:noWrap w:val="0"/>
            <w:vAlign w:val="center"/>
          </w:tcPr>
          <w:p>
            <w:pPr>
              <w:jc w:val="center"/>
              <w:rPr>
                <w:szCs w:val="21"/>
              </w:rPr>
            </w:pPr>
            <w:r>
              <w:rPr>
                <w:szCs w:val="21"/>
              </w:rPr>
              <w:t>14.5</w:t>
            </w:r>
          </w:p>
        </w:tc>
        <w:tc>
          <w:tcPr>
            <w:tcW w:w="1448" w:type="dxa"/>
            <w:noWrap w:val="0"/>
            <w:vAlign w:val="center"/>
          </w:tcPr>
          <w:p>
            <w:pPr>
              <w:jc w:val="center"/>
              <w:rPr>
                <w:szCs w:val="21"/>
              </w:rPr>
            </w:pPr>
            <w:r>
              <w:rPr>
                <w:szCs w:val="21"/>
              </w:rP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top"/>
          </w:tcPr>
          <w:p>
            <w:pPr>
              <w:rPr>
                <w:szCs w:val="21"/>
              </w:rPr>
            </w:pPr>
          </w:p>
        </w:tc>
        <w:tc>
          <w:tcPr>
            <w:tcW w:w="4174" w:type="dxa"/>
            <w:gridSpan w:val="2"/>
            <w:noWrap w:val="0"/>
            <w:vAlign w:val="center"/>
          </w:tcPr>
          <w:p>
            <w:pPr>
              <w:rPr>
                <w:szCs w:val="21"/>
              </w:rPr>
            </w:pPr>
            <w:r>
              <w:rPr>
                <w:szCs w:val="21"/>
              </w:rPr>
              <w:t>公众安全感</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90以上</w:t>
            </w:r>
          </w:p>
        </w:tc>
        <w:tc>
          <w:tcPr>
            <w:tcW w:w="1448" w:type="dxa"/>
            <w:noWrap w:val="0"/>
            <w:vAlign w:val="center"/>
          </w:tcPr>
          <w:p>
            <w:pPr>
              <w:jc w:val="center"/>
              <w:rPr>
                <w:szCs w:val="21"/>
              </w:rPr>
            </w:pPr>
            <w:r>
              <w:rPr>
                <w:szCs w:val="21"/>
              </w:rPr>
              <w:t>98.53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767" w:type="dxa"/>
            <w:vMerge w:val="continue"/>
            <w:noWrap w:val="0"/>
            <w:vAlign w:val="top"/>
          </w:tcPr>
          <w:p>
            <w:pPr>
              <w:rPr>
                <w:szCs w:val="21"/>
              </w:rPr>
            </w:pPr>
          </w:p>
        </w:tc>
        <w:tc>
          <w:tcPr>
            <w:tcW w:w="4174" w:type="dxa"/>
            <w:gridSpan w:val="2"/>
            <w:noWrap w:val="0"/>
            <w:vAlign w:val="center"/>
          </w:tcPr>
          <w:p>
            <w:pPr>
              <w:rPr>
                <w:szCs w:val="21"/>
              </w:rPr>
            </w:pPr>
            <w:r>
              <w:rPr>
                <w:szCs w:val="21"/>
              </w:rPr>
              <w:t>党风廉政建设满意率</w:t>
            </w:r>
          </w:p>
        </w:tc>
        <w:tc>
          <w:tcPr>
            <w:tcW w:w="928" w:type="dxa"/>
            <w:noWrap w:val="0"/>
            <w:vAlign w:val="center"/>
          </w:tcPr>
          <w:p>
            <w:pPr>
              <w:jc w:val="center"/>
              <w:rPr>
                <w:szCs w:val="21"/>
              </w:rPr>
            </w:pPr>
            <w:r>
              <w:rPr>
                <w:szCs w:val="21"/>
              </w:rPr>
              <w:t>%</w:t>
            </w:r>
          </w:p>
        </w:tc>
        <w:tc>
          <w:tcPr>
            <w:tcW w:w="1492" w:type="dxa"/>
            <w:noWrap w:val="0"/>
            <w:vAlign w:val="center"/>
          </w:tcPr>
          <w:p>
            <w:pPr>
              <w:jc w:val="center"/>
              <w:rPr>
                <w:szCs w:val="21"/>
              </w:rPr>
            </w:pPr>
            <w:r>
              <w:rPr>
                <w:szCs w:val="21"/>
              </w:rPr>
              <w:t>85以上</w:t>
            </w:r>
          </w:p>
        </w:tc>
        <w:tc>
          <w:tcPr>
            <w:tcW w:w="1448" w:type="dxa"/>
            <w:noWrap w:val="0"/>
            <w:vAlign w:val="center"/>
          </w:tcPr>
          <w:p>
            <w:pPr>
              <w:jc w:val="center"/>
              <w:rPr>
                <w:szCs w:val="21"/>
              </w:rPr>
            </w:pPr>
            <w:r>
              <w:rPr>
                <w:szCs w:val="21"/>
              </w:rPr>
              <w:t>85以上</w:t>
            </w:r>
          </w:p>
        </w:tc>
      </w:tr>
    </w:tbl>
    <w:p>
      <w:pPr>
        <w:spacing w:before="240" w:after="240" w:line="560" w:lineRule="exact"/>
        <w:jc w:val="center"/>
        <w:rPr>
          <w:rFonts w:hint="eastAsia" w:ascii="方正黑体_GBK" w:eastAsia="方正黑体_GBK"/>
          <w:sz w:val="32"/>
          <w:szCs w:val="32"/>
        </w:rPr>
      </w:pPr>
      <w:bookmarkStart w:id="13" w:name="_Toc58576628"/>
      <w:r>
        <w:rPr>
          <w:rFonts w:hint="eastAsia" w:ascii="方正黑体_GBK" w:eastAsia="方正黑体_GBK"/>
          <w:sz w:val="32"/>
          <w:szCs w:val="32"/>
        </w:rPr>
        <w:t>第二章  发展环境</w:t>
      </w:r>
      <w:bookmarkEnd w:id="9"/>
      <w:bookmarkEnd w:id="13"/>
    </w:p>
    <w:p>
      <w:pPr>
        <w:spacing w:line="570" w:lineRule="exact"/>
        <w:ind w:firstLine="640" w:firstLineChars="200"/>
        <w:rPr>
          <w:rFonts w:eastAsia="方正仿宋_GBK"/>
          <w:sz w:val="32"/>
          <w:szCs w:val="32"/>
        </w:rPr>
      </w:pPr>
      <w:r>
        <w:rPr>
          <w:rFonts w:eastAsia="方正仿宋_GBK"/>
          <w:sz w:val="32"/>
          <w:szCs w:val="32"/>
        </w:rPr>
        <w:t>“十四五”时期，发展仍然处于重要战略机遇期，但机遇和挑战都有新的发展变化。</w:t>
      </w:r>
    </w:p>
    <w:p>
      <w:pPr>
        <w:spacing w:line="570" w:lineRule="exact"/>
        <w:ind w:firstLine="640" w:firstLineChars="200"/>
        <w:rPr>
          <w:rFonts w:eastAsia="方正仿宋_GBK"/>
          <w:sz w:val="32"/>
          <w:szCs w:val="32"/>
        </w:rPr>
      </w:pPr>
      <w:r>
        <w:rPr>
          <w:rFonts w:eastAsia="方正仿宋_GBK"/>
          <w:sz w:val="32"/>
          <w:szCs w:val="32"/>
        </w:rPr>
        <w:t>世界正经历百年未有之大变局，新冠肺炎疫情促使大变局加速变化，世界经济低迷，保护主义、单边主义上升，中美战略博弈成为常态，国际环境日趋复杂，国际力量对比深刻调整，不稳定性不确定性明显增加。同时也应看到，和平与发展仍是时代主题，经济全球化和区域一体化是大势所趋，新兴经济体和发展中国家正在群体性崛起，新一轮科技革命和产业变革深入发展，并呈现出智能化为主导、融合式“聚变”、多点突破等新态势，企业生产方式、产业组织模式面临颠覆性变革，产业布局导向由成本市场向安全可控转变、产业链供应链组织由离岸向近岸在岸转变，全球重要生产网络区域内部循环更加强化。必须强化全球视野和前瞻思维，准确识变、科学应变、主动求变，利用扎实产业基础抢抓产业链、价值链重构机遇，深度融入全球创新链，培育国际竞争合作新优势，在新的国际坐标系中谋划更高质量发展，加快在一些关键领域实现从跟跑到并跑、领跑。</w:t>
      </w:r>
    </w:p>
    <w:p>
      <w:pPr>
        <w:spacing w:line="570" w:lineRule="exact"/>
        <w:ind w:firstLine="640" w:firstLineChars="200"/>
        <w:rPr>
          <w:rFonts w:eastAsia="方正仿宋_GBK"/>
          <w:sz w:val="32"/>
          <w:szCs w:val="32"/>
        </w:rPr>
      </w:pPr>
      <w:r>
        <w:rPr>
          <w:rFonts w:eastAsia="方正仿宋_GBK"/>
          <w:sz w:val="32"/>
          <w:szCs w:val="32"/>
        </w:rPr>
        <w:t>我国已转向高质量发展阶段，处在转变发展方式、优化经济结构、转换增长动力的攻关期，社会主要矛盾发生变化带来新特征新要求，提升工业化城镇化质量、加快新旧动能转换、国家治理体系和治理能力现代化、生态优先绿色发展、构建国内国际双循环相互促进的新发展格局等要求也更为紧迫。尽管发展面临结构性、体制性、周期性问题相互交织所带来的困难和挑战，但我国制度优势显著，治理效能提升，经济长期向好，物质基础雄厚，人力资源丰富，市场空间广阔，发展韧性强大，社会大局稳定，继续发展具有多方面优势和条件。同时，以长江经济带高质量发展、长三角区域一体化发展等国家重大战略引领的区域协调发展新格局正在形成，城市群、都市圈与中心城市成为承载发展要素的主要空间。必须深刻认识战略机遇期的内涵变化，准确把握构建新发展格局的重大取向，立足当前、着眼长远，以我为主、自主谋划，率先探索社会主义现代化建设路径，在服务国家战略中提升城市能级、实现更大发展。</w:t>
      </w:r>
    </w:p>
    <w:p>
      <w:pPr>
        <w:spacing w:line="570" w:lineRule="exact"/>
        <w:ind w:firstLine="640" w:firstLineChars="200"/>
        <w:rPr>
          <w:rFonts w:eastAsia="方正仿宋_GBK"/>
          <w:sz w:val="32"/>
          <w:szCs w:val="32"/>
        </w:rPr>
      </w:pPr>
      <w:r>
        <w:rPr>
          <w:rFonts w:eastAsia="方正仿宋_GBK"/>
          <w:sz w:val="32"/>
          <w:szCs w:val="32"/>
        </w:rPr>
        <w:t>我市将进入以创新转型加速攻坚、城乡区域深度融合、民生保障品质提升、改革开放持续深化、美丽常州加快建设为主要特征的新发展阶段，经过改革开放以来的接续奋斗，常州具有扎实的产业基础、优质的企业集群、优秀的企业家和干部队伍、良好的营商环境、浓厚的发展氛围，有条件在全面开启基本实现社会主义现代化建设新征程中把握主动权、赢得新发展。同时应清醒看到，常州经济社会发展中一些不平衡、不协调、不充分、不可持续的深层次矛盾和问题尚未得到根本解决，创新能力提升和产业提质增效任重道远，新旧动能转换和替代速度相对较慢，城市人口集聚度和吸引力不足，资源环境约束越发明显，优质公共服务供给能力与人民日益增长的美好生活需要还有差距。必须认识和把握发展规律，弘扬常州精神，树立底线思维，保持战略定力，办好自己的事，在危机中育先机、于变局中开新局，推动高质量发展走在前列，加速迈上更高发展台阶。</w:t>
      </w:r>
      <w:bookmarkStart w:id="14" w:name="_Toc54560520"/>
      <w:bookmarkStart w:id="15" w:name="_Toc55403934"/>
    </w:p>
    <w:p>
      <w:pPr>
        <w:spacing w:before="240" w:after="240" w:line="570" w:lineRule="exact"/>
        <w:jc w:val="center"/>
        <w:rPr>
          <w:rFonts w:hint="eastAsia" w:ascii="方正黑体_GBK" w:eastAsia="方正黑体_GBK"/>
          <w:sz w:val="32"/>
          <w:szCs w:val="32"/>
        </w:rPr>
      </w:pPr>
      <w:bookmarkStart w:id="16" w:name="_Toc58576629"/>
      <w:r>
        <w:rPr>
          <w:rFonts w:hint="eastAsia" w:ascii="方正黑体_GBK" w:eastAsia="方正黑体_GBK"/>
          <w:sz w:val="32"/>
          <w:szCs w:val="32"/>
        </w:rPr>
        <w:t>第三章  总体要求</w:t>
      </w:r>
      <w:bookmarkEnd w:id="14"/>
      <w:bookmarkEnd w:id="15"/>
      <w:bookmarkEnd w:id="16"/>
    </w:p>
    <w:p>
      <w:pPr>
        <w:spacing w:after="240" w:line="570" w:lineRule="exact"/>
        <w:jc w:val="center"/>
        <w:rPr>
          <w:rFonts w:hint="eastAsia" w:ascii="方正楷体_GBK" w:eastAsia="方正楷体_GBK"/>
          <w:sz w:val="32"/>
          <w:szCs w:val="32"/>
        </w:rPr>
      </w:pPr>
      <w:bookmarkStart w:id="17" w:name="_Toc58576630"/>
      <w:bookmarkStart w:id="18" w:name="_Toc54560521"/>
      <w:bookmarkStart w:id="19" w:name="_Toc55403935"/>
      <w:r>
        <w:rPr>
          <w:rFonts w:hint="eastAsia" w:ascii="方正楷体_GBK" w:eastAsia="方正楷体_GBK"/>
          <w:sz w:val="32"/>
          <w:szCs w:val="32"/>
        </w:rPr>
        <w:t>第一节  指导思想</w:t>
      </w:r>
      <w:bookmarkEnd w:id="17"/>
      <w:bookmarkEnd w:id="18"/>
      <w:bookmarkEnd w:id="19"/>
    </w:p>
    <w:p>
      <w:pPr>
        <w:overflowPunct w:val="0"/>
        <w:adjustRightInd w:val="0"/>
        <w:snapToGrid w:val="0"/>
        <w:spacing w:line="570" w:lineRule="exact"/>
        <w:ind w:firstLine="640" w:firstLineChars="200"/>
        <w:rPr>
          <w:rFonts w:eastAsia="方正仿宋_GBK"/>
          <w:kern w:val="32"/>
          <w:sz w:val="32"/>
          <w:szCs w:val="32"/>
        </w:rPr>
      </w:pPr>
      <w:bookmarkStart w:id="20" w:name="_Toc54560523"/>
      <w:bookmarkStart w:id="21" w:name="_Toc58576631"/>
      <w:bookmarkStart w:id="22" w:name="_Toc55403936"/>
      <w:r>
        <w:rPr>
          <w:rFonts w:eastAsia="方正仿宋_GBK"/>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全面落实习近平总书记重要讲话指示精神，统筹推进“五位一体”总体布局，协调推进“四个全面”战略布局，坚持党的全面领导，坚持以人民为中心，坚持新发展理念，坚持深化改革开放，坚持系统观念，坚持稳中求进工作总基调，以“争当表率、争做示范、走在前列”为总目标、总纲领、总要求，以推动高质量发展为主题，以深化供给侧结构性改革为主线，大力弘扬“勇争一流、耻为二手”常州精神，坚持不懈抓创新抓环境抓项目，强力推进工业智造、科教创新、文旅休闲、宜居美丽、和谐幸福五大明星城建设，着力打造“国际化智造名城、长三角中轴枢纽”，加快实现经济高质量发展、人民群众高品质生活、社会高效能治理，推动“强富美高”新常州建设再出发，勇争一流，争创更多第一唯一，努力以市域现代化先行为全省现代化建设探路，成为全省现代化建设走在前列的一面旗帜。</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推进“十四五”高质量发展，必须牢牢把握以下要求。</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坚持创新核心地位做强智能制造上争当表率争做示范。牢牢把握新一轮科技革命和产业变革机遇，坚持创新第一动力、人才第一资源，加快建设长三角有特色有影响力的区域创新中心，为全省乃至全国提供更多优质产品和更高水平科技供给，推动经济高质量发展走在前列；坚定不移走工业立市、制造强市、质量兴市道路，加快形成产业基础高级化、产业布局合理化、产业发展集聚化、产业链条现代化、产业竞争力高端化的先进制造业体系，实现“常州制造”向“常州智造”跃升，加快打造国际化智造名城。</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打造改革开放新高地上争当表率争做示范。用改革创新的思路和方法破解前进道路中的难题，深化重要领域和关键环节改革，在改革系统集成协同高效、高水平制度型开放、增强配置全球资源能力、打造一流营商环境等方面不断激发新动能，努力成为联通国际、国内市场的重要节点，以更高水平改革开放增创竞争新优势。</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服务全国构建新发展格局上争当表率争做示范。充分发挥常州资源禀赋、区位环境、产业基础等比较优势，加快建设长三角中轴枢纽，深入推进高铁新城建设和老城厢复兴，着力提升城市能级；大力发展枢纽经济、平台经济、总部经济、会展经济、年轻人经济等，打通生产、分配、流通、消费各环节，更好融入全球经济体系，努力在促进全国构建新发展格局的路径举措等方面先行先试、创造经验，成为新发展格局的强劲动力源。</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城乡融合发展上争当表率争做示范。以实施乡村振兴战略为总抓手，推动城乡基础设施互联互通、公共服务普惠共享、资源要素合理流动，形成工农互促、城乡互补、全面融合、共同繁荣的新型工农城乡关系，逐步解决城乡发展不平衡问题，率先基本实现农业农村现代化，城乡居民收入差距进一步缩小，建成城乡融合发展的全国示范区。</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打造人民幸福美好家园上争当表率争做示范。坚持以人民为中心的发展思想，围绕“八个更”要求，把广大群众的“关键小事”当作党委政府的“头等大事”，用心用情用力解决群众急难愁盼，加快推进市域治理现代化，更加彰显生态之美、人文之美、和谐之美，努力让人民群众的获得感成色更足、幸福感更可持续、安全感更有保障，更好满足人民对美好生活的向往。</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率先基本实现现代化上走在前列。践行新发展理念，落实高质量发展要求，弘扬常州精神，对标先进、提升标杆，干则一流、出则精品，勇于向最高峰攀登、敢于向排头兵挑战，奋力推进经济现代化、科教现代化、城市现代化、生态现代化、文化现代化、社会现代化和人的现代化，进一步凸显探索性、创新性、引领性，争当全国全省现代化建设的开路先锋。</w:t>
      </w:r>
    </w:p>
    <w:p>
      <w:pPr>
        <w:overflowPunct w:val="0"/>
        <w:adjustRightInd w:val="0"/>
        <w:snapToGrid w:val="0"/>
        <w:spacing w:before="240" w:after="240" w:line="570" w:lineRule="exact"/>
        <w:jc w:val="center"/>
        <w:rPr>
          <w:rFonts w:eastAsia="方正楷体_GBK"/>
          <w:kern w:val="32"/>
          <w:sz w:val="32"/>
          <w:szCs w:val="32"/>
        </w:rPr>
      </w:pPr>
      <w:r>
        <w:rPr>
          <w:rFonts w:eastAsia="方正楷体_GBK"/>
          <w:kern w:val="32"/>
          <w:sz w:val="32"/>
          <w:szCs w:val="32"/>
        </w:rPr>
        <w:t>第二节  2035年远景目标</w:t>
      </w:r>
      <w:bookmarkEnd w:id="20"/>
      <w:bookmarkEnd w:id="21"/>
      <w:bookmarkEnd w:id="22"/>
    </w:p>
    <w:p>
      <w:pPr>
        <w:spacing w:line="570" w:lineRule="exact"/>
        <w:ind w:firstLine="640" w:firstLineChars="200"/>
        <w:rPr>
          <w:rFonts w:eastAsia="方正仿宋_GBK"/>
          <w:sz w:val="32"/>
          <w:szCs w:val="32"/>
        </w:rPr>
      </w:pPr>
      <w:r>
        <w:rPr>
          <w:rFonts w:eastAsia="方正仿宋_GBK"/>
          <w:sz w:val="32"/>
          <w:szCs w:val="32"/>
        </w:rPr>
        <w:t>落实党的十九大提出的分两步走全面建成社会主义现代化强国的战略安排，二</w:t>
      </w:r>
      <w:r>
        <w:rPr>
          <w:rFonts w:hint="eastAsia" w:eastAsia="方正仿宋_GBK"/>
          <w:sz w:val="32"/>
          <w:szCs w:val="32"/>
        </w:rPr>
        <w:t>○</w:t>
      </w:r>
      <w:r>
        <w:rPr>
          <w:rFonts w:eastAsia="方正仿宋_GBK"/>
          <w:sz w:val="32"/>
          <w:szCs w:val="32"/>
        </w:rPr>
        <w:t>三五年常州经济社会发展的远景目标是：</w:t>
      </w:r>
    </w:p>
    <w:p>
      <w:pPr>
        <w:spacing w:line="570" w:lineRule="exact"/>
        <w:ind w:firstLine="640" w:firstLineChars="200"/>
        <w:rPr>
          <w:rFonts w:eastAsia="方正仿宋_GBK"/>
          <w:sz w:val="32"/>
          <w:szCs w:val="32"/>
        </w:rPr>
      </w:pPr>
      <w:r>
        <w:rPr>
          <w:rFonts w:eastAsia="方正仿宋_GBK"/>
          <w:sz w:val="32"/>
          <w:szCs w:val="32"/>
        </w:rPr>
        <w:t>率先基本实现现代化，高水平建成工业智造、科教创新、文旅休闲、宜居美丽、和谐幸福明星城。经济高质量发展迈上新的大台阶，人均</w:t>
      </w:r>
      <w:r>
        <w:rPr>
          <w:rFonts w:hint="eastAsia" w:eastAsia="方正仿宋_GBK"/>
          <w:sz w:val="32"/>
          <w:szCs w:val="32"/>
        </w:rPr>
        <w:t>地区</w:t>
      </w:r>
      <w:r>
        <w:rPr>
          <w:rFonts w:eastAsia="方正仿宋_GBK"/>
          <w:sz w:val="32"/>
          <w:szCs w:val="32"/>
        </w:rPr>
        <w:t>生产总值达到发达经济体水平，基本实现新型工业化、信息化、城镇化、农业农村现代化，率先实现交通运输现代化，建成现代化经济体系，进入创新型城市前列，基本建成江苏交通中轴枢纽，成为国际先进制造业基地；基本实现市域治理现代化，建成法治政府、法治社会；率先实现教育现代化、卫生健康现代化，建成体育强市，文化软实力全面增强，市民素质和社会文明程度达到新高度；共同富裕率先取得实质性重大进展，城乡区域发展和居民生活水平均衡度持续领先；基本实现人与自然和谐共生的现代化，生态环境质量、资源能源集约利用、绿色发展国内领先，“强富美高”新常州的现代化图景成为现实。</w:t>
      </w:r>
    </w:p>
    <w:p>
      <w:pPr>
        <w:overflowPunct w:val="0"/>
        <w:adjustRightInd w:val="0"/>
        <w:snapToGrid w:val="0"/>
        <w:spacing w:before="240" w:after="240" w:line="570" w:lineRule="exact"/>
        <w:jc w:val="center"/>
        <w:rPr>
          <w:rFonts w:eastAsia="方正楷体_GBK"/>
          <w:kern w:val="32"/>
          <w:sz w:val="32"/>
          <w:szCs w:val="32"/>
        </w:rPr>
      </w:pPr>
      <w:bookmarkStart w:id="23" w:name="_Toc55403937"/>
      <w:bookmarkStart w:id="24" w:name="_Toc58576632"/>
      <w:r>
        <w:rPr>
          <w:rFonts w:eastAsia="方正楷体_GBK"/>
          <w:kern w:val="32"/>
          <w:sz w:val="32"/>
          <w:szCs w:val="32"/>
        </w:rPr>
        <w:t>第三节  空间格局</w:t>
      </w:r>
      <w:bookmarkEnd w:id="23"/>
      <w:bookmarkEnd w:id="24"/>
    </w:p>
    <w:p>
      <w:pPr>
        <w:spacing w:line="570" w:lineRule="exact"/>
        <w:ind w:firstLine="640" w:firstLineChars="200"/>
        <w:rPr>
          <w:rFonts w:eastAsia="方正仿宋_GBK"/>
          <w:sz w:val="32"/>
          <w:szCs w:val="32"/>
        </w:rPr>
      </w:pPr>
      <w:r>
        <w:rPr>
          <w:rFonts w:eastAsia="方正仿宋_GBK"/>
          <w:sz w:val="32"/>
          <w:szCs w:val="32"/>
        </w:rPr>
        <w:t>服务支撑国家区域重大发展战略，围绕加快建成工业智造、科教创新、文旅休闲、宜居美丽、和谐幸福明星城，聚焦聚力打造“国际化智造名城、长三角中轴枢纽”，坚持“生态优先、网络开放、融入区域”，以生产空间集约高效、生活空间宜居适度、生态空间山清水秀、可持续发展为目标，贯彻落实主体功能区制度和战略，明确城镇、农业、生态空间，推动市域统筹联动与城乡融合发展，全面优化功能配置，面向2035年构建“一主四副一极、一纵三横多片”的市域总体空间格局。统筹划定落实生态保护红线、永久基本农田、城镇开发边界三条控制线，实行最严格的耕地保护制度，分区分类实施国土空间用途管制，建立健全市域国土空间规划体系，加快形成全市国土空间开发保护“一张图”。</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440" w:lineRule="exact"/>
              <w:jc w:val="center"/>
              <w:rPr>
                <w:rFonts w:eastAsia="方正仿宋_GBK"/>
                <w:sz w:val="28"/>
                <w:szCs w:val="28"/>
              </w:rPr>
            </w:pPr>
            <w:r>
              <w:rPr>
                <w:rFonts w:eastAsia="方正仿宋_GBK"/>
                <w:sz w:val="28"/>
                <w:szCs w:val="28"/>
              </w:rPr>
              <w:t>专栏3-1</w:t>
            </w:r>
            <w:r>
              <w:rPr>
                <w:rFonts w:hint="eastAsia" w:eastAsia="方正仿宋_GBK"/>
                <w:sz w:val="28"/>
                <w:szCs w:val="28"/>
              </w:rPr>
              <w:t xml:space="preserve">  </w:t>
            </w:r>
            <w:r>
              <w:rPr>
                <w:rFonts w:eastAsia="方正仿宋_GBK"/>
                <w:sz w:val="28"/>
                <w:szCs w:val="28"/>
              </w:rPr>
              <w:t>“一主四副一极、一纵三横多片”总体空间格局</w:t>
            </w:r>
          </w:p>
          <w:p>
            <w:pPr>
              <w:spacing w:line="440" w:lineRule="exact"/>
              <w:ind w:firstLine="560" w:firstLineChars="200"/>
              <w:rPr>
                <w:rFonts w:eastAsia="方正仿宋_GBK"/>
                <w:sz w:val="28"/>
                <w:szCs w:val="28"/>
              </w:rPr>
            </w:pPr>
            <w:r>
              <w:rPr>
                <w:rFonts w:eastAsia="方正仿宋_GBK"/>
                <w:sz w:val="28"/>
                <w:szCs w:val="28"/>
              </w:rPr>
              <w:t>“一主”：常州主中心，承担城市综合服务职能；</w:t>
            </w:r>
          </w:p>
          <w:p>
            <w:pPr>
              <w:spacing w:line="440" w:lineRule="exact"/>
              <w:ind w:firstLine="560" w:firstLineChars="200"/>
              <w:rPr>
                <w:rFonts w:eastAsia="方正仿宋_GBK"/>
                <w:sz w:val="28"/>
                <w:szCs w:val="28"/>
              </w:rPr>
            </w:pPr>
            <w:r>
              <w:rPr>
                <w:rFonts w:eastAsia="方正仿宋_GBK"/>
                <w:sz w:val="28"/>
                <w:szCs w:val="28"/>
              </w:rPr>
              <w:t>“四副”：金坛、武进、新北、经开区城市副中心，打造城市东西南北方向的综合服务、现代产业服务、特色旅游集散服务等功能集聚中心；</w:t>
            </w:r>
          </w:p>
          <w:p>
            <w:pPr>
              <w:spacing w:line="440" w:lineRule="exact"/>
              <w:ind w:firstLine="560" w:firstLineChars="200"/>
              <w:rPr>
                <w:rFonts w:eastAsia="方正仿宋_GBK"/>
                <w:sz w:val="28"/>
                <w:szCs w:val="28"/>
              </w:rPr>
            </w:pPr>
            <w:r>
              <w:rPr>
                <w:rFonts w:eastAsia="方正仿宋_GBK"/>
                <w:sz w:val="28"/>
                <w:szCs w:val="28"/>
              </w:rPr>
              <w:t>“一极”：溧阳，打造宁杭经济带副中心城市和接轨南京的门户地区；</w:t>
            </w:r>
          </w:p>
          <w:p>
            <w:pPr>
              <w:spacing w:line="440" w:lineRule="exact"/>
              <w:ind w:firstLine="560" w:firstLineChars="200"/>
              <w:rPr>
                <w:rFonts w:eastAsia="方正仿宋_GBK"/>
                <w:sz w:val="28"/>
                <w:szCs w:val="28"/>
              </w:rPr>
            </w:pPr>
            <w:r>
              <w:rPr>
                <w:rFonts w:eastAsia="方正仿宋_GBK"/>
                <w:sz w:val="28"/>
                <w:szCs w:val="28"/>
              </w:rPr>
              <w:t>“一纵”：南北发展轴、长三角中轴，向北推动跨江融合发展、向南衔接杭州，形成横—纵势能转换枢纽；</w:t>
            </w:r>
          </w:p>
          <w:p>
            <w:pPr>
              <w:spacing w:line="440" w:lineRule="exact"/>
              <w:ind w:firstLine="560" w:firstLineChars="200"/>
              <w:rPr>
                <w:rFonts w:eastAsia="方正仿宋_GBK"/>
                <w:sz w:val="28"/>
                <w:szCs w:val="28"/>
              </w:rPr>
            </w:pPr>
            <w:r>
              <w:rPr>
                <w:rFonts w:eastAsia="方正仿宋_GBK"/>
                <w:sz w:val="28"/>
                <w:szCs w:val="28"/>
              </w:rPr>
              <w:t>“三横”：沪宁发展轴、沿江发展轴、宁杭发展轴，向西接轨南京都市圈，向东对接融入上海大都市圈、杭州，强化区域开放协作，通过扩散沿线发展势能，实现城市网络化发展；</w:t>
            </w:r>
          </w:p>
          <w:p>
            <w:pPr>
              <w:spacing w:line="440" w:lineRule="exact"/>
              <w:ind w:firstLine="560" w:firstLineChars="200"/>
              <w:rPr>
                <w:sz w:val="28"/>
                <w:szCs w:val="28"/>
              </w:rPr>
            </w:pPr>
            <w:r>
              <w:rPr>
                <w:rFonts w:eastAsia="方正仿宋_GBK"/>
                <w:sz w:val="28"/>
                <w:szCs w:val="28"/>
              </w:rPr>
              <w:t>“多片”：生态和农林复合片区，以特色城镇节点和特色功能节点为依托，结合乡村发展特征，形成山水、田园、水乡等各具特色的功能片区。</w:t>
            </w:r>
          </w:p>
        </w:tc>
      </w:tr>
    </w:tbl>
    <w:p>
      <w:pPr>
        <w:overflowPunct w:val="0"/>
        <w:adjustRightInd w:val="0"/>
        <w:snapToGrid w:val="0"/>
        <w:spacing w:before="240" w:after="240" w:line="570" w:lineRule="exact"/>
        <w:jc w:val="center"/>
        <w:rPr>
          <w:rFonts w:eastAsia="方正楷体_GBK"/>
          <w:kern w:val="32"/>
          <w:sz w:val="32"/>
          <w:szCs w:val="32"/>
        </w:rPr>
      </w:pPr>
      <w:bookmarkStart w:id="25" w:name="_Toc55403938"/>
      <w:bookmarkStart w:id="26" w:name="_Toc54560524"/>
      <w:bookmarkStart w:id="27" w:name="_Toc58576633"/>
      <w:r>
        <w:rPr>
          <w:rFonts w:eastAsia="方正楷体_GBK"/>
          <w:kern w:val="32"/>
          <w:sz w:val="32"/>
          <w:szCs w:val="32"/>
        </w:rPr>
        <w:t>第四节</w:t>
      </w:r>
      <w:r>
        <w:rPr>
          <w:rFonts w:hint="eastAsia" w:eastAsia="方正楷体_GBK"/>
          <w:kern w:val="32"/>
          <w:sz w:val="32"/>
          <w:szCs w:val="32"/>
        </w:rPr>
        <w:t xml:space="preserve">  </w:t>
      </w:r>
      <w:r>
        <w:rPr>
          <w:rFonts w:eastAsia="方正楷体_GBK"/>
          <w:kern w:val="32"/>
          <w:sz w:val="32"/>
          <w:szCs w:val="32"/>
        </w:rPr>
        <w:t>“十四五”经济社会发展目标</w:t>
      </w:r>
      <w:bookmarkEnd w:id="25"/>
      <w:bookmarkEnd w:id="26"/>
      <w:bookmarkEnd w:id="27"/>
    </w:p>
    <w:p>
      <w:pPr>
        <w:spacing w:line="560" w:lineRule="exact"/>
        <w:ind w:firstLine="640" w:firstLineChars="200"/>
        <w:rPr>
          <w:rFonts w:eastAsia="方正仿宋_GBK"/>
          <w:sz w:val="32"/>
          <w:szCs w:val="32"/>
        </w:rPr>
      </w:pPr>
      <w:r>
        <w:rPr>
          <w:rFonts w:eastAsia="方正仿宋_GBK"/>
          <w:sz w:val="32"/>
          <w:szCs w:val="32"/>
        </w:rPr>
        <w:t>按照二</w:t>
      </w:r>
      <w:r>
        <w:rPr>
          <w:rFonts w:hint="eastAsia" w:eastAsia="方正仿宋_GBK"/>
          <w:sz w:val="32"/>
          <w:szCs w:val="32"/>
        </w:rPr>
        <w:t>○</w:t>
      </w:r>
      <w:r>
        <w:rPr>
          <w:rFonts w:eastAsia="方正仿宋_GBK"/>
          <w:sz w:val="32"/>
          <w:szCs w:val="32"/>
        </w:rPr>
        <w:t>三五年远景目标的阶段性部署安排，“十四五”时期经济社会发展主要目标是：</w:t>
      </w:r>
    </w:p>
    <w:p>
      <w:pPr>
        <w:overflowPunct w:val="0"/>
        <w:adjustRightInd w:val="0"/>
        <w:snapToGrid w:val="0"/>
        <w:spacing w:line="56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经济高质量发展迈上新台阶。地区生产总值突破1万亿元，一般公共预算收入突破800亿元。经济结构更加优化，现代化经济体系建设取得明显进展，制造业增加值占地区生产总值比重稳定在43%左右，培育壮大地标性产业集群，产业基础高级化、产业链现代化水平显著提升，基本实现交通运输现代化，形成开放型经济新优势，初步建立实体经济、科技创新、现代金融、人力资源协同发展的现代产业体系。创新能力显著提升，研发经费支出占地区生产总值比重达到3.5%，高新技术产业产值占规模以上工业总产值比重达到50%，科技进步贡献率达到70%以上。</w:t>
      </w:r>
    </w:p>
    <w:p>
      <w:pPr>
        <w:overflowPunct w:val="0"/>
        <w:adjustRightInd w:val="0"/>
        <w:snapToGrid w:val="0"/>
        <w:spacing w:line="56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人民生活品质得到新改善。公共服务产品共建能力和共享水平进一步增强，“八个更”取得更大进展。城乡居民收入增速高于经济增速，全体居民人均可支配收入突破7万元。实现更充分更高质量就业，城镇新增就业突破50万人，城镇调查失业率控制在5%以内。基本公共服务均等化水平不断提高，义务教育优质均衡比例达到85%以上，居民健康素养达到国内先进水平，市域社会治理特别是基层治理水平明显提高。</w:t>
      </w:r>
    </w:p>
    <w:p>
      <w:pPr>
        <w:overflowPunct w:val="0"/>
        <w:adjustRightInd w:val="0"/>
        <w:snapToGrid w:val="0"/>
        <w:spacing w:line="57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美丽常州建设展现新面貌。资源利用更加节约高效，生态环境治理明显改善，生活垃圾分类全面实施，城乡人居环境品质显著提升，PM2.5浓度低于38微克／立方米，空气质量优良天数比例达到78%以上，地表水国考断面水质达到或优于Ⅲ类比例达到考核要求，力争在“十四五”中后期碳排放达峰，国土空间开发保护格局不断优化，开发强度得到合理控制。</w:t>
      </w:r>
    </w:p>
    <w:p>
      <w:pPr>
        <w:overflowPunct w:val="0"/>
        <w:adjustRightInd w:val="0"/>
        <w:snapToGrid w:val="0"/>
        <w:spacing w:line="57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社会文明程度达到新水平。社会主义核心价值观深入人心，常州精神凝聚力持续彰显，社会文明测评指数全国领先。文化强市建设取得新进展，公共文化服务体系更加健全，文化品牌标识度愈加彰显，人民精神文化生活不断迈上新台阶；文化产业发展提质增效，占地区生产总值比重达到6%以上。</w:t>
      </w:r>
    </w:p>
    <w:p>
      <w:pPr>
        <w:overflowPunct w:val="0"/>
        <w:adjustRightInd w:val="0"/>
        <w:snapToGrid w:val="0"/>
        <w:spacing w:line="57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深化改革开放取得新进展。全面深化改革继续走在全省前列，经济体制改革发挥牵引作用，重点领域和关键环节改革深入推进，“畅通办”品牌打响，跻身全国最优营商环境城市行列。开放型经济质量和水平持续提升，高水平全面开放格局进一步确立，“一带一路”交汇点建设纵深推进，打造新时代对外开放新高地。</w:t>
      </w:r>
    </w:p>
    <w:p>
      <w:pPr>
        <w:overflowPunct w:val="0"/>
        <w:adjustRightInd w:val="0"/>
        <w:snapToGrid w:val="0"/>
        <w:spacing w:line="56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市域社会治理现代化水平实现新提升。</w:t>
      </w:r>
      <w:r>
        <w:rPr>
          <w:rFonts w:eastAsia="方正仿宋_GBK"/>
          <w:sz w:val="32"/>
          <w:szCs w:val="32"/>
        </w:rPr>
        <w:t>社会主义民主法治不断加强，法治常州、法治政府、法治社会一体建设，社会公平正义进一步彰显。共建共治共享的城市治理格局基本形成，基层治理更加高效智能，防范化解重大风险体制机制不断健全，突发公共事件应急处置能力增强，发展安全保障更加有力，人民群众安全感持续提升，市域治理体系和治理能力现代化走在全国全省前列。</w:t>
      </w:r>
    </w:p>
    <w:p>
      <w:pPr>
        <w:spacing w:line="560" w:lineRule="exact"/>
        <w:jc w:val="center"/>
        <w:rPr>
          <w:rFonts w:eastAsia="方正仿宋_GBK"/>
          <w:sz w:val="28"/>
          <w:szCs w:val="28"/>
        </w:rPr>
      </w:pPr>
      <w:r>
        <w:rPr>
          <w:rFonts w:eastAsia="方正仿宋_GBK"/>
          <w:sz w:val="28"/>
          <w:szCs w:val="28"/>
        </w:rPr>
        <w:t>表3-1</w:t>
      </w:r>
      <w:r>
        <w:rPr>
          <w:rFonts w:hint="eastAsia" w:eastAsia="方正仿宋_GBK"/>
          <w:sz w:val="28"/>
          <w:szCs w:val="28"/>
        </w:rPr>
        <w:t xml:space="preserve">  </w:t>
      </w:r>
      <w:r>
        <w:rPr>
          <w:rFonts w:eastAsia="方正仿宋_GBK"/>
          <w:sz w:val="28"/>
          <w:szCs w:val="28"/>
        </w:rPr>
        <w:t>市“十四五”经济社会发展主要指标</w:t>
      </w:r>
    </w:p>
    <w:tbl>
      <w:tblPr>
        <w:tblStyle w:val="6"/>
        <w:tblW w:w="90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8"/>
        <w:gridCol w:w="948"/>
        <w:gridCol w:w="4398"/>
        <w:gridCol w:w="2026"/>
        <w:gridCol w:w="1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688" w:type="dxa"/>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类别</w:t>
            </w:r>
          </w:p>
        </w:tc>
        <w:tc>
          <w:tcPr>
            <w:tcW w:w="5346" w:type="dxa"/>
            <w:gridSpan w:val="2"/>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指标</w:t>
            </w:r>
          </w:p>
        </w:tc>
        <w:tc>
          <w:tcPr>
            <w:tcW w:w="2026" w:type="dxa"/>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2025年目标</w:t>
            </w:r>
          </w:p>
        </w:tc>
        <w:tc>
          <w:tcPr>
            <w:tcW w:w="1000" w:type="dxa"/>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属性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restart"/>
            <w:noWrap w:val="0"/>
            <w:vAlign w:val="center"/>
          </w:tcPr>
          <w:p>
            <w:pPr>
              <w:spacing w:line="260" w:lineRule="exact"/>
              <w:jc w:val="center"/>
              <w:rPr>
                <w:sz w:val="22"/>
                <w:szCs w:val="21"/>
              </w:rPr>
            </w:pPr>
            <w:r>
              <w:rPr>
                <w:sz w:val="22"/>
                <w:szCs w:val="21"/>
              </w:rPr>
              <w:t>经</w:t>
            </w:r>
          </w:p>
          <w:p>
            <w:pPr>
              <w:spacing w:line="260" w:lineRule="exact"/>
              <w:jc w:val="center"/>
              <w:rPr>
                <w:sz w:val="22"/>
                <w:szCs w:val="21"/>
              </w:rPr>
            </w:pPr>
            <w:r>
              <w:rPr>
                <w:sz w:val="22"/>
                <w:szCs w:val="21"/>
              </w:rPr>
              <w:t>济</w:t>
            </w:r>
          </w:p>
          <w:p>
            <w:pPr>
              <w:spacing w:line="260" w:lineRule="exact"/>
              <w:jc w:val="center"/>
              <w:rPr>
                <w:sz w:val="22"/>
                <w:szCs w:val="21"/>
              </w:rPr>
            </w:pPr>
            <w:r>
              <w:rPr>
                <w:sz w:val="22"/>
                <w:szCs w:val="21"/>
              </w:rPr>
              <w:t>强</w:t>
            </w:r>
          </w:p>
        </w:tc>
        <w:tc>
          <w:tcPr>
            <w:tcW w:w="5346" w:type="dxa"/>
            <w:gridSpan w:val="2"/>
            <w:noWrap w:val="0"/>
            <w:vAlign w:val="center"/>
          </w:tcPr>
          <w:p>
            <w:pPr>
              <w:spacing w:line="260" w:lineRule="exact"/>
              <w:rPr>
                <w:sz w:val="22"/>
                <w:szCs w:val="21"/>
              </w:rPr>
            </w:pPr>
            <w:r>
              <w:rPr>
                <w:sz w:val="22"/>
                <w:szCs w:val="21"/>
              </w:rPr>
              <w:t>地区生产总值（亿元）</w:t>
            </w:r>
          </w:p>
        </w:tc>
        <w:tc>
          <w:tcPr>
            <w:tcW w:w="2026" w:type="dxa"/>
            <w:noWrap w:val="0"/>
            <w:vAlign w:val="center"/>
          </w:tcPr>
          <w:p>
            <w:pPr>
              <w:spacing w:line="260" w:lineRule="exact"/>
              <w:jc w:val="center"/>
              <w:rPr>
                <w:sz w:val="22"/>
                <w:szCs w:val="21"/>
              </w:rPr>
            </w:pPr>
            <w:r>
              <w:rPr>
                <w:sz w:val="22"/>
                <w:szCs w:val="21"/>
              </w:rPr>
              <w:t>10000以上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人均地区生产总值（万元）</w:t>
            </w:r>
          </w:p>
        </w:tc>
        <w:tc>
          <w:tcPr>
            <w:tcW w:w="2026" w:type="dxa"/>
            <w:noWrap w:val="0"/>
            <w:vAlign w:val="center"/>
          </w:tcPr>
          <w:p>
            <w:pPr>
              <w:spacing w:line="260" w:lineRule="exact"/>
              <w:jc w:val="center"/>
              <w:rPr>
                <w:sz w:val="22"/>
                <w:szCs w:val="21"/>
              </w:rPr>
            </w:pPr>
            <w:r>
              <w:rPr>
                <w:sz w:val="22"/>
                <w:szCs w:val="21"/>
              </w:rPr>
              <w:t>20以上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全员劳动生产率（万元）</w:t>
            </w:r>
          </w:p>
        </w:tc>
        <w:tc>
          <w:tcPr>
            <w:tcW w:w="2026" w:type="dxa"/>
            <w:noWrap w:val="0"/>
            <w:vAlign w:val="center"/>
          </w:tcPr>
          <w:p>
            <w:pPr>
              <w:spacing w:line="260" w:lineRule="exact"/>
              <w:jc w:val="center"/>
              <w:rPr>
                <w:sz w:val="22"/>
                <w:szCs w:val="21"/>
              </w:rPr>
            </w:pPr>
            <w:r>
              <w:rPr>
                <w:sz w:val="22"/>
                <w:szCs w:val="21"/>
              </w:rPr>
              <w:t>35左右</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地方一般公共预算收入（亿元）</w:t>
            </w:r>
          </w:p>
        </w:tc>
        <w:tc>
          <w:tcPr>
            <w:tcW w:w="2026" w:type="dxa"/>
            <w:noWrap w:val="0"/>
            <w:vAlign w:val="center"/>
          </w:tcPr>
          <w:p>
            <w:pPr>
              <w:spacing w:line="260" w:lineRule="exact"/>
              <w:jc w:val="center"/>
              <w:rPr>
                <w:sz w:val="22"/>
                <w:szCs w:val="21"/>
              </w:rPr>
            </w:pPr>
            <w:r>
              <w:rPr>
                <w:sz w:val="22"/>
                <w:szCs w:val="21"/>
              </w:rPr>
              <w:t>800以上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jc w:val="left"/>
              <w:rPr>
                <w:sz w:val="22"/>
                <w:szCs w:val="21"/>
              </w:rPr>
            </w:pPr>
            <w:r>
              <w:rPr>
                <w:sz w:val="22"/>
                <w:szCs w:val="21"/>
              </w:rPr>
              <w:t>研发经费支出占地区生产总值比重（%）</w:t>
            </w:r>
          </w:p>
        </w:tc>
        <w:tc>
          <w:tcPr>
            <w:tcW w:w="2026" w:type="dxa"/>
            <w:noWrap w:val="0"/>
            <w:vAlign w:val="center"/>
          </w:tcPr>
          <w:p>
            <w:pPr>
              <w:spacing w:line="260" w:lineRule="exact"/>
              <w:jc w:val="center"/>
              <w:rPr>
                <w:sz w:val="22"/>
                <w:szCs w:val="21"/>
              </w:rPr>
            </w:pPr>
            <w:r>
              <w:rPr>
                <w:sz w:val="22"/>
                <w:szCs w:val="21"/>
              </w:rPr>
              <w:t>3.5</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科技进步贡献率（%）</w:t>
            </w:r>
          </w:p>
        </w:tc>
        <w:tc>
          <w:tcPr>
            <w:tcW w:w="2026" w:type="dxa"/>
            <w:noWrap w:val="0"/>
            <w:vAlign w:val="center"/>
          </w:tcPr>
          <w:p>
            <w:pPr>
              <w:spacing w:line="260" w:lineRule="exact"/>
              <w:jc w:val="center"/>
              <w:rPr>
                <w:sz w:val="22"/>
                <w:szCs w:val="21"/>
              </w:rPr>
            </w:pPr>
            <w:r>
              <w:rPr>
                <w:sz w:val="22"/>
                <w:szCs w:val="21"/>
              </w:rPr>
              <w:t>70以上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每万人拥有发明专利数（件）</w:t>
            </w:r>
          </w:p>
        </w:tc>
        <w:tc>
          <w:tcPr>
            <w:tcW w:w="2026" w:type="dxa"/>
            <w:noWrap w:val="0"/>
            <w:vAlign w:val="center"/>
          </w:tcPr>
          <w:p>
            <w:pPr>
              <w:spacing w:line="260" w:lineRule="exact"/>
              <w:jc w:val="center"/>
              <w:rPr>
                <w:sz w:val="22"/>
                <w:szCs w:val="21"/>
              </w:rPr>
            </w:pPr>
            <w:r>
              <w:rPr>
                <w:sz w:val="22"/>
                <w:szCs w:val="21"/>
              </w:rPr>
              <w:t>55</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制造业增加值占地区生产总值比重（%）</w:t>
            </w:r>
          </w:p>
        </w:tc>
        <w:tc>
          <w:tcPr>
            <w:tcW w:w="2026" w:type="dxa"/>
            <w:noWrap w:val="0"/>
            <w:vAlign w:val="center"/>
          </w:tcPr>
          <w:p>
            <w:pPr>
              <w:spacing w:line="260" w:lineRule="exact"/>
              <w:jc w:val="center"/>
              <w:rPr>
                <w:sz w:val="22"/>
                <w:szCs w:val="21"/>
              </w:rPr>
            </w:pPr>
            <w:r>
              <w:rPr>
                <w:sz w:val="22"/>
                <w:szCs w:val="21"/>
              </w:rPr>
              <w:t>43左右</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高新技术产业产值占规模</w:t>
            </w:r>
            <w:r>
              <w:rPr>
                <w:rFonts w:hint="eastAsia"/>
                <w:sz w:val="22"/>
                <w:szCs w:val="21"/>
              </w:rPr>
              <w:t>以上</w:t>
            </w:r>
            <w:r>
              <w:rPr>
                <w:sz w:val="22"/>
                <w:szCs w:val="21"/>
              </w:rPr>
              <w:t>工业总产值比重（%）</w:t>
            </w:r>
          </w:p>
        </w:tc>
        <w:tc>
          <w:tcPr>
            <w:tcW w:w="2026" w:type="dxa"/>
            <w:noWrap w:val="0"/>
            <w:vAlign w:val="center"/>
          </w:tcPr>
          <w:p>
            <w:pPr>
              <w:spacing w:line="260" w:lineRule="exact"/>
              <w:jc w:val="center"/>
              <w:rPr>
                <w:sz w:val="22"/>
                <w:szCs w:val="21"/>
              </w:rPr>
            </w:pPr>
            <w:r>
              <w:rPr>
                <w:sz w:val="22"/>
                <w:szCs w:val="21"/>
              </w:rPr>
              <w:t>50左右</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生产性服务业增加值占服务业增加值比重（%）</w:t>
            </w:r>
          </w:p>
        </w:tc>
        <w:tc>
          <w:tcPr>
            <w:tcW w:w="2026" w:type="dxa"/>
            <w:noWrap w:val="0"/>
            <w:vAlign w:val="center"/>
          </w:tcPr>
          <w:p>
            <w:pPr>
              <w:spacing w:line="260" w:lineRule="exact"/>
              <w:jc w:val="center"/>
              <w:rPr>
                <w:sz w:val="22"/>
                <w:szCs w:val="21"/>
              </w:rPr>
            </w:pPr>
            <w:r>
              <w:rPr>
                <w:sz w:val="22"/>
                <w:szCs w:val="21"/>
              </w:rPr>
              <w:t>60左右</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绿色优质农产品比重（%）</w:t>
            </w:r>
          </w:p>
        </w:tc>
        <w:tc>
          <w:tcPr>
            <w:tcW w:w="2026" w:type="dxa"/>
            <w:noWrap w:val="0"/>
            <w:vAlign w:val="center"/>
          </w:tcPr>
          <w:p>
            <w:pPr>
              <w:spacing w:line="260" w:lineRule="exact"/>
              <w:jc w:val="center"/>
              <w:rPr>
                <w:sz w:val="22"/>
                <w:szCs w:val="21"/>
              </w:rPr>
            </w:pPr>
            <w:r>
              <w:rPr>
                <w:sz w:val="22"/>
                <w:szCs w:val="21"/>
              </w:rPr>
              <w:t>80</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每万劳动力中高技能人才数（人）</w:t>
            </w:r>
          </w:p>
        </w:tc>
        <w:tc>
          <w:tcPr>
            <w:tcW w:w="2026" w:type="dxa"/>
            <w:noWrap w:val="0"/>
            <w:vAlign w:val="center"/>
          </w:tcPr>
          <w:p>
            <w:pPr>
              <w:spacing w:line="260" w:lineRule="exact"/>
              <w:jc w:val="center"/>
              <w:rPr>
                <w:sz w:val="22"/>
                <w:szCs w:val="21"/>
              </w:rPr>
            </w:pPr>
            <w:r>
              <w:rPr>
                <w:sz w:val="22"/>
                <w:szCs w:val="21"/>
              </w:rPr>
              <w:t>1400</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营商环境指数（%）</w:t>
            </w:r>
          </w:p>
        </w:tc>
        <w:tc>
          <w:tcPr>
            <w:tcW w:w="2026" w:type="dxa"/>
            <w:noWrap w:val="0"/>
            <w:vAlign w:val="center"/>
          </w:tcPr>
          <w:p>
            <w:pPr>
              <w:spacing w:line="260" w:lineRule="exact"/>
              <w:jc w:val="center"/>
              <w:rPr>
                <w:sz w:val="22"/>
                <w:szCs w:val="21"/>
              </w:rPr>
            </w:pPr>
            <w:r>
              <w:rPr>
                <w:sz w:val="22"/>
                <w:szCs w:val="21"/>
              </w:rPr>
              <w:t>全省第一方阵</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948" w:type="dxa"/>
            <w:vMerge w:val="restart"/>
            <w:noWrap w:val="0"/>
            <w:vAlign w:val="center"/>
          </w:tcPr>
          <w:p>
            <w:pPr>
              <w:spacing w:line="260" w:lineRule="exact"/>
              <w:rPr>
                <w:sz w:val="22"/>
                <w:szCs w:val="21"/>
              </w:rPr>
            </w:pPr>
            <w:r>
              <w:rPr>
                <w:sz w:val="22"/>
                <w:szCs w:val="21"/>
              </w:rPr>
              <w:t>新一代</w:t>
            </w:r>
          </w:p>
          <w:p>
            <w:pPr>
              <w:spacing w:line="260" w:lineRule="exact"/>
              <w:rPr>
                <w:sz w:val="22"/>
                <w:szCs w:val="21"/>
              </w:rPr>
            </w:pPr>
            <w:r>
              <w:rPr>
                <w:sz w:val="22"/>
                <w:szCs w:val="21"/>
              </w:rPr>
              <w:t>宽带</w:t>
            </w:r>
          </w:p>
        </w:tc>
        <w:tc>
          <w:tcPr>
            <w:tcW w:w="4398" w:type="dxa"/>
            <w:noWrap w:val="0"/>
            <w:vAlign w:val="center"/>
          </w:tcPr>
          <w:p>
            <w:pPr>
              <w:spacing w:line="260" w:lineRule="exact"/>
              <w:rPr>
                <w:sz w:val="22"/>
                <w:szCs w:val="21"/>
              </w:rPr>
            </w:pPr>
            <w:r>
              <w:rPr>
                <w:sz w:val="22"/>
                <w:szCs w:val="21"/>
              </w:rPr>
              <w:t>5G网络区域覆盖率（%）</w:t>
            </w:r>
          </w:p>
        </w:tc>
        <w:tc>
          <w:tcPr>
            <w:tcW w:w="2026" w:type="dxa"/>
            <w:noWrap w:val="0"/>
            <w:vAlign w:val="center"/>
          </w:tcPr>
          <w:p>
            <w:pPr>
              <w:spacing w:line="260" w:lineRule="exact"/>
              <w:jc w:val="center"/>
              <w:rPr>
                <w:sz w:val="22"/>
                <w:szCs w:val="21"/>
              </w:rPr>
            </w:pPr>
            <w:r>
              <w:rPr>
                <w:sz w:val="22"/>
                <w:szCs w:val="21"/>
              </w:rPr>
              <w:t>95%以上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948" w:type="dxa"/>
            <w:vMerge w:val="continue"/>
            <w:noWrap w:val="0"/>
            <w:vAlign w:val="center"/>
          </w:tcPr>
          <w:p>
            <w:pPr>
              <w:spacing w:line="260" w:lineRule="exact"/>
              <w:rPr>
                <w:sz w:val="22"/>
                <w:szCs w:val="21"/>
              </w:rPr>
            </w:pPr>
          </w:p>
        </w:tc>
        <w:tc>
          <w:tcPr>
            <w:tcW w:w="4398" w:type="dxa"/>
            <w:noWrap w:val="0"/>
            <w:vAlign w:val="center"/>
          </w:tcPr>
          <w:p>
            <w:pPr>
              <w:spacing w:line="260" w:lineRule="exact"/>
              <w:rPr>
                <w:sz w:val="22"/>
                <w:szCs w:val="21"/>
              </w:rPr>
            </w:pPr>
            <w:r>
              <w:rPr>
                <w:sz w:val="22"/>
                <w:szCs w:val="21"/>
              </w:rPr>
              <w:t>千兆宽带网络用户普及率（%）</w:t>
            </w:r>
          </w:p>
        </w:tc>
        <w:tc>
          <w:tcPr>
            <w:tcW w:w="2026" w:type="dxa"/>
            <w:noWrap w:val="0"/>
            <w:vAlign w:val="center"/>
          </w:tcPr>
          <w:p>
            <w:pPr>
              <w:spacing w:line="260" w:lineRule="exact"/>
              <w:jc w:val="center"/>
              <w:rPr>
                <w:sz w:val="22"/>
                <w:szCs w:val="21"/>
              </w:rPr>
            </w:pPr>
            <w:r>
              <w:rPr>
                <w:sz w:val="22"/>
                <w:szCs w:val="21"/>
              </w:rPr>
              <w:t>95%以上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常住人口城镇化率（%）</w:t>
            </w:r>
          </w:p>
        </w:tc>
        <w:tc>
          <w:tcPr>
            <w:tcW w:w="2026" w:type="dxa"/>
            <w:noWrap w:val="0"/>
            <w:vAlign w:val="center"/>
          </w:tcPr>
          <w:p>
            <w:pPr>
              <w:spacing w:line="260" w:lineRule="exact"/>
              <w:jc w:val="center"/>
              <w:rPr>
                <w:sz w:val="22"/>
                <w:szCs w:val="21"/>
              </w:rPr>
            </w:pPr>
            <w:r>
              <w:rPr>
                <w:sz w:val="22"/>
                <w:szCs w:val="21"/>
              </w:rPr>
              <w:t>80左右</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restart"/>
            <w:noWrap w:val="0"/>
            <w:vAlign w:val="center"/>
          </w:tcPr>
          <w:p>
            <w:pPr>
              <w:spacing w:line="260" w:lineRule="exact"/>
              <w:jc w:val="center"/>
              <w:rPr>
                <w:sz w:val="22"/>
                <w:szCs w:val="21"/>
              </w:rPr>
            </w:pPr>
            <w:r>
              <w:rPr>
                <w:sz w:val="22"/>
                <w:szCs w:val="21"/>
              </w:rPr>
              <w:t>百</w:t>
            </w:r>
          </w:p>
          <w:p>
            <w:pPr>
              <w:spacing w:line="260" w:lineRule="exact"/>
              <w:jc w:val="center"/>
              <w:rPr>
                <w:sz w:val="22"/>
                <w:szCs w:val="21"/>
              </w:rPr>
            </w:pPr>
            <w:r>
              <w:rPr>
                <w:sz w:val="22"/>
                <w:szCs w:val="21"/>
              </w:rPr>
              <w:t>姓</w:t>
            </w:r>
          </w:p>
          <w:p>
            <w:pPr>
              <w:spacing w:line="260" w:lineRule="exact"/>
              <w:jc w:val="center"/>
              <w:rPr>
                <w:sz w:val="22"/>
                <w:szCs w:val="21"/>
              </w:rPr>
            </w:pPr>
            <w:r>
              <w:rPr>
                <w:sz w:val="22"/>
                <w:szCs w:val="21"/>
              </w:rPr>
              <w:t>富</w:t>
            </w:r>
          </w:p>
        </w:tc>
        <w:tc>
          <w:tcPr>
            <w:tcW w:w="5346" w:type="dxa"/>
            <w:gridSpan w:val="2"/>
            <w:noWrap w:val="0"/>
            <w:vAlign w:val="center"/>
          </w:tcPr>
          <w:p>
            <w:pPr>
              <w:spacing w:line="260" w:lineRule="exact"/>
              <w:rPr>
                <w:sz w:val="22"/>
                <w:szCs w:val="21"/>
              </w:rPr>
            </w:pPr>
            <w:r>
              <w:rPr>
                <w:sz w:val="22"/>
                <w:szCs w:val="21"/>
              </w:rPr>
              <w:t>居民人均可支配收入增长率（%）</w:t>
            </w:r>
          </w:p>
        </w:tc>
        <w:tc>
          <w:tcPr>
            <w:tcW w:w="2026" w:type="dxa"/>
            <w:noWrap w:val="0"/>
            <w:vAlign w:val="center"/>
          </w:tcPr>
          <w:p>
            <w:pPr>
              <w:spacing w:line="260" w:lineRule="exact"/>
              <w:jc w:val="center"/>
              <w:rPr>
                <w:sz w:val="22"/>
                <w:szCs w:val="21"/>
              </w:rPr>
            </w:pPr>
            <w:r>
              <w:rPr>
                <w:sz w:val="22"/>
                <w:szCs w:val="21"/>
              </w:rPr>
              <w:t>高于经济增速</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948" w:type="dxa"/>
            <w:vMerge w:val="restart"/>
            <w:noWrap w:val="0"/>
            <w:vAlign w:val="center"/>
          </w:tcPr>
          <w:p>
            <w:pPr>
              <w:spacing w:line="260" w:lineRule="exact"/>
              <w:rPr>
                <w:sz w:val="22"/>
                <w:szCs w:val="21"/>
              </w:rPr>
            </w:pPr>
            <w:r>
              <w:rPr>
                <w:sz w:val="22"/>
                <w:szCs w:val="21"/>
              </w:rPr>
              <w:t>城镇</w:t>
            </w:r>
          </w:p>
          <w:p>
            <w:pPr>
              <w:spacing w:line="260" w:lineRule="exact"/>
              <w:rPr>
                <w:sz w:val="22"/>
                <w:szCs w:val="21"/>
              </w:rPr>
            </w:pPr>
            <w:r>
              <w:rPr>
                <w:sz w:val="22"/>
                <w:szCs w:val="21"/>
              </w:rPr>
              <w:t>就业</w:t>
            </w:r>
          </w:p>
        </w:tc>
        <w:tc>
          <w:tcPr>
            <w:tcW w:w="4398" w:type="dxa"/>
            <w:noWrap w:val="0"/>
            <w:vAlign w:val="center"/>
          </w:tcPr>
          <w:p>
            <w:pPr>
              <w:spacing w:line="260" w:lineRule="exact"/>
              <w:rPr>
                <w:sz w:val="22"/>
                <w:szCs w:val="21"/>
              </w:rPr>
            </w:pPr>
            <w:r>
              <w:rPr>
                <w:sz w:val="22"/>
                <w:szCs w:val="21"/>
              </w:rPr>
              <w:t>城镇新增就业人数（万人）</w:t>
            </w:r>
          </w:p>
        </w:tc>
        <w:tc>
          <w:tcPr>
            <w:tcW w:w="2026" w:type="dxa"/>
            <w:noWrap w:val="0"/>
            <w:vAlign w:val="center"/>
          </w:tcPr>
          <w:p>
            <w:pPr>
              <w:spacing w:line="260" w:lineRule="exact"/>
              <w:jc w:val="center"/>
              <w:rPr>
                <w:sz w:val="22"/>
                <w:szCs w:val="21"/>
              </w:rPr>
            </w:pPr>
            <w:r>
              <w:rPr>
                <w:sz w:val="22"/>
                <w:szCs w:val="21"/>
              </w:rPr>
              <w:t>50以上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948" w:type="dxa"/>
            <w:vMerge w:val="continue"/>
            <w:noWrap w:val="0"/>
            <w:vAlign w:val="center"/>
          </w:tcPr>
          <w:p>
            <w:pPr>
              <w:spacing w:line="260" w:lineRule="exact"/>
              <w:rPr>
                <w:sz w:val="22"/>
                <w:szCs w:val="21"/>
              </w:rPr>
            </w:pPr>
          </w:p>
        </w:tc>
        <w:tc>
          <w:tcPr>
            <w:tcW w:w="4398" w:type="dxa"/>
            <w:noWrap w:val="0"/>
            <w:vAlign w:val="center"/>
          </w:tcPr>
          <w:p>
            <w:pPr>
              <w:spacing w:line="260" w:lineRule="exact"/>
              <w:rPr>
                <w:sz w:val="22"/>
                <w:szCs w:val="21"/>
              </w:rPr>
            </w:pPr>
            <w:r>
              <w:rPr>
                <w:sz w:val="22"/>
                <w:szCs w:val="21"/>
              </w:rPr>
              <w:t>城镇调查失业率（%）</w:t>
            </w:r>
          </w:p>
        </w:tc>
        <w:tc>
          <w:tcPr>
            <w:tcW w:w="2026" w:type="dxa"/>
            <w:noWrap w:val="0"/>
            <w:vAlign w:val="center"/>
          </w:tcPr>
          <w:p>
            <w:pPr>
              <w:spacing w:line="260" w:lineRule="exact"/>
              <w:jc w:val="center"/>
              <w:rPr>
                <w:sz w:val="22"/>
                <w:szCs w:val="21"/>
              </w:rPr>
            </w:pPr>
            <w:r>
              <w:rPr>
                <w:sz w:val="22"/>
                <w:szCs w:val="21"/>
              </w:rPr>
              <w:t>5以下</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学前教育资源配置率（个/万人）</w:t>
            </w:r>
          </w:p>
        </w:tc>
        <w:tc>
          <w:tcPr>
            <w:tcW w:w="2026" w:type="dxa"/>
            <w:noWrap w:val="0"/>
            <w:vAlign w:val="center"/>
          </w:tcPr>
          <w:p>
            <w:pPr>
              <w:spacing w:line="260" w:lineRule="exact"/>
              <w:jc w:val="center"/>
              <w:rPr>
                <w:sz w:val="22"/>
                <w:szCs w:val="21"/>
              </w:rPr>
            </w:pPr>
            <w:r>
              <w:rPr>
                <w:sz w:val="22"/>
                <w:szCs w:val="21"/>
              </w:rPr>
              <w:t>0.82</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义务教育优质均衡比例（%）</w:t>
            </w:r>
          </w:p>
        </w:tc>
        <w:tc>
          <w:tcPr>
            <w:tcW w:w="2026" w:type="dxa"/>
            <w:noWrap w:val="0"/>
            <w:vAlign w:val="center"/>
          </w:tcPr>
          <w:p>
            <w:pPr>
              <w:spacing w:line="260" w:lineRule="exact"/>
              <w:jc w:val="center"/>
              <w:rPr>
                <w:sz w:val="22"/>
                <w:szCs w:val="21"/>
              </w:rPr>
            </w:pPr>
            <w:r>
              <w:rPr>
                <w:sz w:val="22"/>
                <w:szCs w:val="21"/>
              </w:rPr>
              <w:t>85以上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人均预期寿命（岁）</w:t>
            </w:r>
          </w:p>
        </w:tc>
        <w:tc>
          <w:tcPr>
            <w:tcW w:w="2026" w:type="dxa"/>
            <w:noWrap w:val="0"/>
            <w:vAlign w:val="center"/>
          </w:tcPr>
          <w:p>
            <w:pPr>
              <w:spacing w:line="260" w:lineRule="exact"/>
              <w:jc w:val="center"/>
              <w:rPr>
                <w:sz w:val="22"/>
                <w:szCs w:val="21"/>
              </w:rPr>
            </w:pPr>
            <w:r>
              <w:rPr>
                <w:sz w:val="22"/>
                <w:szCs w:val="21"/>
              </w:rPr>
              <w:t>82以上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每千人口拥有执业（助理）医师数（人）</w:t>
            </w:r>
          </w:p>
        </w:tc>
        <w:tc>
          <w:tcPr>
            <w:tcW w:w="2026" w:type="dxa"/>
            <w:noWrap w:val="0"/>
            <w:vAlign w:val="center"/>
          </w:tcPr>
          <w:p>
            <w:pPr>
              <w:spacing w:line="260" w:lineRule="exact"/>
              <w:jc w:val="center"/>
              <w:rPr>
                <w:sz w:val="22"/>
                <w:szCs w:val="21"/>
              </w:rPr>
            </w:pPr>
            <w:r>
              <w:rPr>
                <w:sz w:val="22"/>
                <w:szCs w:val="21"/>
              </w:rPr>
              <w:t>3.6以上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rFonts w:hint="eastAsia"/>
                <w:sz w:val="22"/>
                <w:szCs w:val="21"/>
              </w:rPr>
              <w:t>每千人拥有0-3岁婴幼儿托位数（个）</w:t>
            </w:r>
          </w:p>
        </w:tc>
        <w:tc>
          <w:tcPr>
            <w:tcW w:w="2026" w:type="dxa"/>
            <w:noWrap w:val="0"/>
            <w:vAlign w:val="center"/>
          </w:tcPr>
          <w:p>
            <w:pPr>
              <w:spacing w:line="260" w:lineRule="exact"/>
              <w:jc w:val="center"/>
              <w:rPr>
                <w:sz w:val="22"/>
                <w:szCs w:val="21"/>
              </w:rPr>
            </w:pPr>
            <w:r>
              <w:rPr>
                <w:rFonts w:hint="eastAsia"/>
                <w:sz w:val="22"/>
                <w:szCs w:val="21"/>
              </w:rPr>
              <w:t>4.5</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护理型床位占养老机构床位数比例（%）</w:t>
            </w:r>
          </w:p>
        </w:tc>
        <w:tc>
          <w:tcPr>
            <w:tcW w:w="2026" w:type="dxa"/>
            <w:noWrap w:val="0"/>
            <w:vAlign w:val="center"/>
          </w:tcPr>
          <w:p>
            <w:pPr>
              <w:spacing w:line="260" w:lineRule="exact"/>
              <w:jc w:val="center"/>
              <w:rPr>
                <w:sz w:val="22"/>
                <w:szCs w:val="21"/>
              </w:rPr>
            </w:pPr>
            <w:r>
              <w:rPr>
                <w:sz w:val="22"/>
                <w:szCs w:val="21"/>
              </w:rPr>
              <w:t>80</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rFonts w:hint="eastAsia"/>
                <w:sz w:val="22"/>
                <w:szCs w:val="21"/>
              </w:rPr>
              <w:t>城乡基本养老保险参保缴费率</w:t>
            </w:r>
            <w:r>
              <w:rPr>
                <w:sz w:val="22"/>
                <w:szCs w:val="21"/>
              </w:rPr>
              <w:t>（%）</w:t>
            </w:r>
          </w:p>
        </w:tc>
        <w:tc>
          <w:tcPr>
            <w:tcW w:w="2026" w:type="dxa"/>
            <w:noWrap w:val="0"/>
            <w:vAlign w:val="center"/>
          </w:tcPr>
          <w:p>
            <w:pPr>
              <w:spacing w:line="260" w:lineRule="exact"/>
              <w:jc w:val="center"/>
              <w:rPr>
                <w:sz w:val="22"/>
                <w:szCs w:val="21"/>
              </w:rPr>
            </w:pPr>
            <w:r>
              <w:rPr>
                <w:sz w:val="22"/>
                <w:szCs w:val="21"/>
              </w:rPr>
              <w:t>9</w:t>
            </w:r>
            <w:r>
              <w:rPr>
                <w:rFonts w:hint="eastAsia"/>
                <w:sz w:val="22"/>
                <w:szCs w:val="21"/>
              </w:rPr>
              <w:t>0</w:t>
            </w:r>
            <w:r>
              <w:rPr>
                <w:sz w:val="22"/>
                <w:szCs w:val="21"/>
              </w:rPr>
              <w:t>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城镇常住人口保障性住房覆盖率（%）</w:t>
            </w:r>
          </w:p>
        </w:tc>
        <w:tc>
          <w:tcPr>
            <w:tcW w:w="2026" w:type="dxa"/>
            <w:noWrap w:val="0"/>
            <w:vAlign w:val="center"/>
          </w:tcPr>
          <w:p>
            <w:pPr>
              <w:spacing w:line="260" w:lineRule="exact"/>
              <w:jc w:val="center"/>
              <w:rPr>
                <w:sz w:val="22"/>
                <w:szCs w:val="21"/>
              </w:rPr>
            </w:pPr>
            <w:r>
              <w:rPr>
                <w:sz w:val="22"/>
                <w:szCs w:val="21"/>
              </w:rPr>
              <w:t>34</w:t>
            </w:r>
          </w:p>
        </w:tc>
        <w:tc>
          <w:tcPr>
            <w:tcW w:w="1000" w:type="dxa"/>
            <w:noWrap w:val="0"/>
            <w:vAlign w:val="center"/>
          </w:tcPr>
          <w:p>
            <w:pPr>
              <w:spacing w:line="260" w:lineRule="exact"/>
              <w:jc w:val="center"/>
              <w:rPr>
                <w:sz w:val="22"/>
                <w:szCs w:val="21"/>
              </w:rPr>
            </w:pPr>
            <w:r>
              <w:rPr>
                <w:rFonts w:hint="eastAsia"/>
                <w:sz w:val="22"/>
                <w:szCs w:val="21"/>
              </w:rPr>
              <w:t>约束</w:t>
            </w:r>
            <w:r>
              <w:rPr>
                <w:sz w:val="22"/>
                <w:szCs w:val="21"/>
              </w:rPr>
              <w:t>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restart"/>
            <w:noWrap w:val="0"/>
            <w:vAlign w:val="center"/>
          </w:tcPr>
          <w:p>
            <w:pPr>
              <w:spacing w:line="260" w:lineRule="exact"/>
              <w:jc w:val="center"/>
              <w:rPr>
                <w:sz w:val="22"/>
                <w:szCs w:val="21"/>
              </w:rPr>
            </w:pPr>
            <w:r>
              <w:rPr>
                <w:sz w:val="22"/>
                <w:szCs w:val="21"/>
              </w:rPr>
              <w:t>环</w:t>
            </w:r>
          </w:p>
          <w:p>
            <w:pPr>
              <w:spacing w:line="260" w:lineRule="exact"/>
              <w:jc w:val="center"/>
              <w:rPr>
                <w:sz w:val="22"/>
                <w:szCs w:val="21"/>
              </w:rPr>
            </w:pPr>
            <w:r>
              <w:rPr>
                <w:sz w:val="22"/>
                <w:szCs w:val="21"/>
              </w:rPr>
              <w:t>境</w:t>
            </w:r>
          </w:p>
          <w:p>
            <w:pPr>
              <w:spacing w:line="260" w:lineRule="exact"/>
              <w:jc w:val="center"/>
              <w:rPr>
                <w:sz w:val="22"/>
                <w:szCs w:val="21"/>
              </w:rPr>
            </w:pPr>
            <w:r>
              <w:rPr>
                <w:sz w:val="22"/>
                <w:szCs w:val="21"/>
              </w:rPr>
              <w:t>美</w:t>
            </w:r>
          </w:p>
        </w:tc>
        <w:tc>
          <w:tcPr>
            <w:tcW w:w="5346" w:type="dxa"/>
            <w:gridSpan w:val="2"/>
            <w:noWrap w:val="0"/>
            <w:vAlign w:val="center"/>
          </w:tcPr>
          <w:p>
            <w:pPr>
              <w:spacing w:line="260" w:lineRule="exact"/>
              <w:rPr>
                <w:sz w:val="22"/>
                <w:szCs w:val="21"/>
              </w:rPr>
            </w:pPr>
            <w:r>
              <w:rPr>
                <w:sz w:val="22"/>
                <w:szCs w:val="21"/>
              </w:rPr>
              <w:t>生态保护红线占国土面积比重（%）</w:t>
            </w:r>
          </w:p>
        </w:tc>
        <w:tc>
          <w:tcPr>
            <w:tcW w:w="2026" w:type="dxa"/>
            <w:noWrap w:val="0"/>
            <w:vAlign w:val="center"/>
          </w:tcPr>
          <w:p>
            <w:pPr>
              <w:spacing w:line="260" w:lineRule="exact"/>
              <w:jc w:val="center"/>
              <w:rPr>
                <w:sz w:val="22"/>
                <w:szCs w:val="21"/>
              </w:rPr>
            </w:pPr>
            <w:r>
              <w:rPr>
                <w:sz w:val="22"/>
                <w:szCs w:val="21"/>
              </w:rPr>
              <w:t>7.89</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单位地区生产总值能源消耗降低（%）</w:t>
            </w:r>
          </w:p>
        </w:tc>
        <w:tc>
          <w:tcPr>
            <w:tcW w:w="2026" w:type="dxa"/>
            <w:vMerge w:val="restart"/>
            <w:noWrap w:val="0"/>
            <w:vAlign w:val="center"/>
          </w:tcPr>
          <w:p>
            <w:pPr>
              <w:spacing w:line="260" w:lineRule="exact"/>
              <w:jc w:val="center"/>
              <w:rPr>
                <w:sz w:val="22"/>
                <w:szCs w:val="21"/>
              </w:rPr>
            </w:pPr>
            <w:r>
              <w:rPr>
                <w:sz w:val="22"/>
                <w:szCs w:val="21"/>
              </w:rPr>
              <w:t>根据国家、省定目标任务另行制定</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单位地区生产总值二氧化碳降低（%）</w:t>
            </w:r>
          </w:p>
        </w:tc>
        <w:tc>
          <w:tcPr>
            <w:tcW w:w="2026" w:type="dxa"/>
            <w:vMerge w:val="continue"/>
            <w:noWrap w:val="0"/>
            <w:vAlign w:val="center"/>
          </w:tcPr>
          <w:p>
            <w:pPr>
              <w:spacing w:line="260" w:lineRule="exact"/>
              <w:jc w:val="center"/>
              <w:rPr>
                <w:sz w:val="22"/>
                <w:szCs w:val="21"/>
              </w:rPr>
            </w:pP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单位地区生产总值建设用地占用面积下降（%）</w:t>
            </w:r>
          </w:p>
        </w:tc>
        <w:tc>
          <w:tcPr>
            <w:tcW w:w="2026" w:type="dxa"/>
            <w:noWrap w:val="0"/>
            <w:vAlign w:val="center"/>
          </w:tcPr>
          <w:p>
            <w:pPr>
              <w:spacing w:line="260" w:lineRule="exact"/>
              <w:jc w:val="center"/>
              <w:rPr>
                <w:sz w:val="22"/>
                <w:szCs w:val="21"/>
              </w:rPr>
            </w:pPr>
            <w:r>
              <w:rPr>
                <w:sz w:val="22"/>
                <w:szCs w:val="21"/>
              </w:rPr>
              <w:t>高于省定目标</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细颗粒物（</w:t>
            </w:r>
            <w:r>
              <w:rPr>
                <w:rFonts w:hint="eastAsia"/>
                <w:sz w:val="22"/>
                <w:szCs w:val="21"/>
              </w:rPr>
              <w:t>PM2.5</w:t>
            </w:r>
            <w:r>
              <w:rPr>
                <w:sz w:val="22"/>
                <w:szCs w:val="21"/>
              </w:rPr>
              <w:t>）浓度（μmg/L）</w:t>
            </w:r>
          </w:p>
        </w:tc>
        <w:tc>
          <w:tcPr>
            <w:tcW w:w="2026" w:type="dxa"/>
            <w:noWrap w:val="0"/>
            <w:vAlign w:val="center"/>
          </w:tcPr>
          <w:p>
            <w:pPr>
              <w:spacing w:line="260" w:lineRule="exact"/>
              <w:jc w:val="center"/>
              <w:rPr>
                <w:sz w:val="22"/>
                <w:szCs w:val="21"/>
              </w:rPr>
            </w:pPr>
            <w:r>
              <w:rPr>
                <w:sz w:val="22"/>
                <w:szCs w:val="21"/>
              </w:rPr>
              <w:t>38</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空气质量优良天数比例（%）</w:t>
            </w:r>
          </w:p>
        </w:tc>
        <w:tc>
          <w:tcPr>
            <w:tcW w:w="2026" w:type="dxa"/>
            <w:noWrap w:val="0"/>
            <w:vAlign w:val="center"/>
          </w:tcPr>
          <w:p>
            <w:pPr>
              <w:spacing w:line="260" w:lineRule="exact"/>
              <w:jc w:val="center"/>
              <w:rPr>
                <w:sz w:val="22"/>
                <w:szCs w:val="21"/>
              </w:rPr>
            </w:pPr>
            <w:r>
              <w:rPr>
                <w:sz w:val="22"/>
                <w:szCs w:val="21"/>
              </w:rPr>
              <w:t>78</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地表水国考、省考断面水质达到或优于Ⅲ类比例（%）</w:t>
            </w:r>
          </w:p>
        </w:tc>
        <w:tc>
          <w:tcPr>
            <w:tcW w:w="2026" w:type="dxa"/>
            <w:noWrap w:val="0"/>
            <w:vAlign w:val="center"/>
          </w:tcPr>
          <w:p>
            <w:pPr>
              <w:spacing w:line="260" w:lineRule="exact"/>
              <w:jc w:val="center"/>
              <w:rPr>
                <w:sz w:val="22"/>
                <w:szCs w:val="21"/>
              </w:rPr>
            </w:pPr>
            <w:r>
              <w:rPr>
                <w:sz w:val="22"/>
                <w:szCs w:val="21"/>
              </w:rPr>
              <w:t>达到考核要求</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林木覆盖率（%）</w:t>
            </w:r>
          </w:p>
        </w:tc>
        <w:tc>
          <w:tcPr>
            <w:tcW w:w="2026" w:type="dxa"/>
            <w:noWrap w:val="0"/>
            <w:vAlign w:val="center"/>
          </w:tcPr>
          <w:p>
            <w:pPr>
              <w:spacing w:line="260" w:lineRule="exact"/>
              <w:jc w:val="center"/>
              <w:rPr>
                <w:sz w:val="22"/>
                <w:szCs w:val="21"/>
              </w:rPr>
            </w:pPr>
            <w:r>
              <w:rPr>
                <w:sz w:val="22"/>
                <w:szCs w:val="21"/>
              </w:rPr>
              <w:t>高于省定目标</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restart"/>
            <w:noWrap w:val="0"/>
            <w:vAlign w:val="center"/>
          </w:tcPr>
          <w:p>
            <w:pPr>
              <w:spacing w:line="260" w:lineRule="exact"/>
              <w:jc w:val="center"/>
              <w:rPr>
                <w:sz w:val="22"/>
                <w:szCs w:val="21"/>
              </w:rPr>
            </w:pPr>
            <w:r>
              <w:rPr>
                <w:sz w:val="22"/>
                <w:szCs w:val="21"/>
              </w:rPr>
              <w:t>社会文明程度高</w:t>
            </w:r>
          </w:p>
        </w:tc>
        <w:tc>
          <w:tcPr>
            <w:tcW w:w="5346" w:type="dxa"/>
            <w:gridSpan w:val="2"/>
            <w:noWrap w:val="0"/>
            <w:vAlign w:val="center"/>
          </w:tcPr>
          <w:p>
            <w:pPr>
              <w:spacing w:line="260" w:lineRule="exact"/>
              <w:rPr>
                <w:sz w:val="22"/>
                <w:szCs w:val="21"/>
              </w:rPr>
            </w:pPr>
            <w:r>
              <w:rPr>
                <w:sz w:val="22"/>
                <w:szCs w:val="21"/>
              </w:rPr>
              <w:t>法治建设满意度（%）</w:t>
            </w:r>
          </w:p>
        </w:tc>
        <w:tc>
          <w:tcPr>
            <w:tcW w:w="2026" w:type="dxa"/>
            <w:noWrap w:val="0"/>
            <w:vAlign w:val="center"/>
          </w:tcPr>
          <w:p>
            <w:pPr>
              <w:spacing w:line="260" w:lineRule="exact"/>
              <w:jc w:val="center"/>
              <w:rPr>
                <w:sz w:val="22"/>
                <w:szCs w:val="21"/>
              </w:rPr>
            </w:pPr>
            <w:r>
              <w:rPr>
                <w:sz w:val="22"/>
                <w:szCs w:val="21"/>
              </w:rPr>
              <w:t>90以上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美丽社区建设达标率（%）</w:t>
            </w:r>
          </w:p>
        </w:tc>
        <w:tc>
          <w:tcPr>
            <w:tcW w:w="2026" w:type="dxa"/>
            <w:noWrap w:val="0"/>
            <w:vAlign w:val="center"/>
          </w:tcPr>
          <w:p>
            <w:pPr>
              <w:spacing w:line="260" w:lineRule="exact"/>
              <w:jc w:val="center"/>
              <w:rPr>
                <w:sz w:val="22"/>
                <w:szCs w:val="21"/>
              </w:rPr>
            </w:pPr>
            <w:r>
              <w:rPr>
                <w:sz w:val="22"/>
                <w:szCs w:val="21"/>
              </w:rPr>
              <w:t>90以上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全民阅读指数（%）</w:t>
            </w:r>
          </w:p>
        </w:tc>
        <w:tc>
          <w:tcPr>
            <w:tcW w:w="2026" w:type="dxa"/>
            <w:noWrap w:val="0"/>
            <w:vAlign w:val="center"/>
          </w:tcPr>
          <w:p>
            <w:pPr>
              <w:spacing w:line="260" w:lineRule="exact"/>
              <w:jc w:val="center"/>
              <w:rPr>
                <w:sz w:val="22"/>
                <w:szCs w:val="21"/>
              </w:rPr>
            </w:pPr>
            <w:r>
              <w:rPr>
                <w:sz w:val="22"/>
                <w:szCs w:val="21"/>
              </w:rPr>
              <w:t>80以上</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restart"/>
            <w:noWrap w:val="0"/>
            <w:vAlign w:val="center"/>
          </w:tcPr>
          <w:p>
            <w:pPr>
              <w:spacing w:line="260" w:lineRule="exact"/>
              <w:jc w:val="center"/>
              <w:rPr>
                <w:sz w:val="22"/>
                <w:szCs w:val="21"/>
              </w:rPr>
            </w:pPr>
            <w:r>
              <w:rPr>
                <w:sz w:val="22"/>
                <w:szCs w:val="21"/>
              </w:rPr>
              <w:t>保</w:t>
            </w:r>
          </w:p>
          <w:p>
            <w:pPr>
              <w:spacing w:line="260" w:lineRule="exact"/>
              <w:jc w:val="center"/>
              <w:rPr>
                <w:sz w:val="22"/>
                <w:szCs w:val="21"/>
              </w:rPr>
            </w:pPr>
            <w:r>
              <w:rPr>
                <w:sz w:val="22"/>
                <w:szCs w:val="21"/>
              </w:rPr>
              <w:t>障</w:t>
            </w:r>
          </w:p>
          <w:p>
            <w:pPr>
              <w:spacing w:line="260" w:lineRule="exact"/>
              <w:jc w:val="center"/>
              <w:rPr>
                <w:sz w:val="22"/>
                <w:szCs w:val="21"/>
              </w:rPr>
            </w:pPr>
            <w:r>
              <w:rPr>
                <w:sz w:val="22"/>
                <w:szCs w:val="21"/>
              </w:rPr>
              <w:t>安</w:t>
            </w:r>
          </w:p>
          <w:p>
            <w:pPr>
              <w:spacing w:line="260" w:lineRule="exact"/>
              <w:jc w:val="center"/>
              <w:rPr>
                <w:sz w:val="22"/>
                <w:szCs w:val="21"/>
              </w:rPr>
            </w:pPr>
            <w:r>
              <w:rPr>
                <w:sz w:val="22"/>
                <w:szCs w:val="21"/>
              </w:rPr>
              <w:t>全</w:t>
            </w:r>
          </w:p>
        </w:tc>
        <w:tc>
          <w:tcPr>
            <w:tcW w:w="5346" w:type="dxa"/>
            <w:gridSpan w:val="2"/>
            <w:noWrap w:val="0"/>
            <w:vAlign w:val="center"/>
          </w:tcPr>
          <w:p>
            <w:pPr>
              <w:spacing w:line="260" w:lineRule="exact"/>
              <w:rPr>
                <w:sz w:val="22"/>
                <w:szCs w:val="21"/>
              </w:rPr>
            </w:pPr>
            <w:r>
              <w:rPr>
                <w:sz w:val="22"/>
                <w:szCs w:val="21"/>
              </w:rPr>
              <w:t>口粮自给率（%）</w:t>
            </w:r>
          </w:p>
        </w:tc>
        <w:tc>
          <w:tcPr>
            <w:tcW w:w="2026" w:type="dxa"/>
            <w:noWrap w:val="0"/>
            <w:vAlign w:val="center"/>
          </w:tcPr>
          <w:p>
            <w:pPr>
              <w:spacing w:line="260" w:lineRule="exact"/>
              <w:jc w:val="center"/>
              <w:rPr>
                <w:sz w:val="22"/>
                <w:szCs w:val="21"/>
              </w:rPr>
            </w:pPr>
            <w:r>
              <w:rPr>
                <w:sz w:val="22"/>
                <w:szCs w:val="21"/>
              </w:rPr>
              <w:t>90左右</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948" w:type="dxa"/>
            <w:vMerge w:val="restart"/>
            <w:noWrap w:val="0"/>
            <w:vAlign w:val="center"/>
          </w:tcPr>
          <w:p>
            <w:pPr>
              <w:spacing w:line="260" w:lineRule="exact"/>
              <w:jc w:val="center"/>
              <w:rPr>
                <w:sz w:val="22"/>
                <w:szCs w:val="21"/>
              </w:rPr>
            </w:pPr>
            <w:r>
              <w:rPr>
                <w:sz w:val="22"/>
                <w:szCs w:val="21"/>
              </w:rPr>
              <w:t>安全</w:t>
            </w:r>
          </w:p>
          <w:p>
            <w:pPr>
              <w:spacing w:line="260" w:lineRule="exact"/>
              <w:jc w:val="center"/>
              <w:rPr>
                <w:sz w:val="22"/>
                <w:szCs w:val="21"/>
              </w:rPr>
            </w:pPr>
            <w:r>
              <w:rPr>
                <w:sz w:val="22"/>
                <w:szCs w:val="21"/>
              </w:rPr>
              <w:t>生产</w:t>
            </w:r>
          </w:p>
        </w:tc>
        <w:tc>
          <w:tcPr>
            <w:tcW w:w="4398" w:type="dxa"/>
            <w:noWrap w:val="0"/>
            <w:vAlign w:val="center"/>
          </w:tcPr>
          <w:p>
            <w:pPr>
              <w:spacing w:line="260" w:lineRule="exact"/>
              <w:rPr>
                <w:sz w:val="22"/>
                <w:szCs w:val="21"/>
              </w:rPr>
            </w:pPr>
            <w:r>
              <w:rPr>
                <w:sz w:val="22"/>
                <w:szCs w:val="21"/>
              </w:rPr>
              <w:t>生产安全事故发生起数下降（%）</w:t>
            </w:r>
          </w:p>
        </w:tc>
        <w:tc>
          <w:tcPr>
            <w:tcW w:w="2026" w:type="dxa"/>
            <w:noWrap w:val="0"/>
            <w:vAlign w:val="center"/>
          </w:tcPr>
          <w:p>
            <w:pPr>
              <w:spacing w:line="260" w:lineRule="exact"/>
              <w:jc w:val="center"/>
              <w:rPr>
                <w:sz w:val="22"/>
                <w:szCs w:val="21"/>
              </w:rPr>
            </w:pPr>
            <w:r>
              <w:rPr>
                <w:sz w:val="22"/>
                <w:szCs w:val="21"/>
              </w:rPr>
              <w:t>30左右</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948" w:type="dxa"/>
            <w:vMerge w:val="continue"/>
            <w:noWrap w:val="0"/>
            <w:vAlign w:val="center"/>
          </w:tcPr>
          <w:p>
            <w:pPr>
              <w:spacing w:line="260" w:lineRule="exact"/>
              <w:rPr>
                <w:sz w:val="22"/>
                <w:szCs w:val="21"/>
              </w:rPr>
            </w:pPr>
          </w:p>
        </w:tc>
        <w:tc>
          <w:tcPr>
            <w:tcW w:w="4398" w:type="dxa"/>
            <w:noWrap w:val="0"/>
            <w:vAlign w:val="center"/>
          </w:tcPr>
          <w:p>
            <w:pPr>
              <w:spacing w:line="260" w:lineRule="exact"/>
              <w:rPr>
                <w:sz w:val="22"/>
                <w:szCs w:val="21"/>
              </w:rPr>
            </w:pPr>
            <w:r>
              <w:rPr>
                <w:sz w:val="22"/>
                <w:szCs w:val="21"/>
              </w:rPr>
              <w:t>生产安全事故死亡人数下降（%）</w:t>
            </w:r>
          </w:p>
        </w:tc>
        <w:tc>
          <w:tcPr>
            <w:tcW w:w="2026" w:type="dxa"/>
            <w:noWrap w:val="0"/>
            <w:vAlign w:val="center"/>
          </w:tcPr>
          <w:p>
            <w:pPr>
              <w:spacing w:line="260" w:lineRule="exact"/>
              <w:jc w:val="center"/>
              <w:rPr>
                <w:sz w:val="22"/>
                <w:szCs w:val="21"/>
              </w:rPr>
            </w:pPr>
            <w:r>
              <w:rPr>
                <w:sz w:val="22"/>
                <w:szCs w:val="21"/>
              </w:rPr>
              <w:t>30左右</w:t>
            </w:r>
          </w:p>
        </w:tc>
        <w:tc>
          <w:tcPr>
            <w:tcW w:w="1000" w:type="dxa"/>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网格创建达标率（%）</w:t>
            </w:r>
          </w:p>
        </w:tc>
        <w:tc>
          <w:tcPr>
            <w:tcW w:w="2026" w:type="dxa"/>
            <w:noWrap w:val="0"/>
            <w:vAlign w:val="center"/>
          </w:tcPr>
          <w:p>
            <w:pPr>
              <w:spacing w:line="260" w:lineRule="exact"/>
              <w:jc w:val="center"/>
              <w:rPr>
                <w:sz w:val="22"/>
                <w:szCs w:val="21"/>
              </w:rPr>
            </w:pPr>
            <w:r>
              <w:rPr>
                <w:sz w:val="22"/>
                <w:szCs w:val="21"/>
              </w:rPr>
              <w:t>100</w:t>
            </w:r>
          </w:p>
        </w:tc>
        <w:tc>
          <w:tcPr>
            <w:tcW w:w="1000" w:type="dxa"/>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8" w:type="dxa"/>
            <w:vMerge w:val="continue"/>
            <w:noWrap w:val="0"/>
            <w:vAlign w:val="center"/>
          </w:tcPr>
          <w:p>
            <w:pPr>
              <w:spacing w:line="260" w:lineRule="exact"/>
              <w:jc w:val="center"/>
              <w:rPr>
                <w:sz w:val="22"/>
                <w:szCs w:val="21"/>
              </w:rPr>
            </w:pPr>
          </w:p>
        </w:tc>
        <w:tc>
          <w:tcPr>
            <w:tcW w:w="5346" w:type="dxa"/>
            <w:gridSpan w:val="2"/>
            <w:noWrap w:val="0"/>
            <w:vAlign w:val="center"/>
          </w:tcPr>
          <w:p>
            <w:pPr>
              <w:spacing w:line="260" w:lineRule="exact"/>
              <w:rPr>
                <w:sz w:val="22"/>
                <w:szCs w:val="21"/>
              </w:rPr>
            </w:pPr>
            <w:r>
              <w:rPr>
                <w:sz w:val="22"/>
                <w:szCs w:val="21"/>
              </w:rPr>
              <w:t>公众安全感（%）</w:t>
            </w:r>
          </w:p>
        </w:tc>
        <w:tc>
          <w:tcPr>
            <w:tcW w:w="2026" w:type="dxa"/>
            <w:noWrap w:val="0"/>
            <w:vAlign w:val="center"/>
          </w:tcPr>
          <w:p>
            <w:pPr>
              <w:spacing w:line="260" w:lineRule="exact"/>
              <w:jc w:val="center"/>
              <w:rPr>
                <w:sz w:val="22"/>
                <w:szCs w:val="21"/>
              </w:rPr>
            </w:pPr>
            <w:r>
              <w:rPr>
                <w:sz w:val="22"/>
                <w:szCs w:val="21"/>
              </w:rPr>
              <w:t>98以上</w:t>
            </w:r>
          </w:p>
        </w:tc>
        <w:tc>
          <w:tcPr>
            <w:tcW w:w="1000" w:type="dxa"/>
            <w:noWrap w:val="0"/>
            <w:vAlign w:val="center"/>
          </w:tcPr>
          <w:p>
            <w:pPr>
              <w:spacing w:line="260" w:lineRule="exact"/>
              <w:jc w:val="center"/>
              <w:rPr>
                <w:sz w:val="22"/>
                <w:szCs w:val="21"/>
              </w:rPr>
            </w:pPr>
            <w:r>
              <w:rPr>
                <w:sz w:val="22"/>
                <w:szCs w:val="21"/>
              </w:rPr>
              <w:t>预期性</w:t>
            </w:r>
          </w:p>
        </w:tc>
      </w:tr>
    </w:tbl>
    <w:p>
      <w:pPr>
        <w:spacing w:line="560" w:lineRule="exact"/>
        <w:rPr>
          <w:rFonts w:ascii="方正仿宋_GBK" w:eastAsia="方正仿宋_GBK"/>
          <w:sz w:val="32"/>
          <w:szCs w:val="32"/>
        </w:rPr>
      </w:pPr>
      <w:r>
        <w:rPr>
          <w:rFonts w:hint="eastAsia" w:ascii="方正仿宋_GBK" w:eastAsia="方正仿宋_GBK"/>
          <w:sz w:val="32"/>
          <w:szCs w:val="32"/>
        </w:rPr>
        <w:t>注：劳动年龄人口平均受教育年限、非化石能源占一次能源消费比重、耕地保有量、粮食综合生产能力完成省定目标。</w:t>
      </w:r>
    </w:p>
    <w:p>
      <w:pPr>
        <w:spacing w:line="560" w:lineRule="exact"/>
        <w:rPr>
          <w:rFonts w:hint="eastAsia" w:eastAsia="方正小标宋简体"/>
          <w:b/>
          <w:sz w:val="32"/>
          <w:szCs w:val="32"/>
        </w:rPr>
      </w:pPr>
      <w:r>
        <w:rPr>
          <w:rFonts w:ascii="方正仿宋_GBK" w:eastAsia="方正仿宋_GBK"/>
          <w:sz w:val="32"/>
          <w:szCs w:val="32"/>
        </w:rPr>
        <w:br w:type="page"/>
      </w:r>
      <w:bookmarkStart w:id="28" w:name="_Toc55403939"/>
      <w:bookmarkStart w:id="29" w:name="_Toc58576634"/>
      <w:bookmarkStart w:id="30" w:name="_Hlk53684751"/>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第二篇</w:t>
      </w:r>
      <w:bookmarkEnd w:id="28"/>
      <w:r>
        <w:rPr>
          <w:rFonts w:hint="eastAsia" w:ascii="方正小标宋_GBK" w:eastAsia="方正小标宋_GBK"/>
          <w:sz w:val="44"/>
          <w:szCs w:val="44"/>
        </w:rPr>
        <w:t xml:space="preserve">  建设国际化智造名城</w:t>
      </w:r>
      <w:bookmarkEnd w:id="29"/>
    </w:p>
    <w:bookmarkEnd w:id="30"/>
    <w:p>
      <w:pPr>
        <w:spacing w:line="570" w:lineRule="exact"/>
        <w:jc w:val="center"/>
        <w:rPr>
          <w:rFonts w:hint="eastAsia" w:eastAsia="方正仿宋_GBK"/>
          <w:sz w:val="32"/>
          <w:szCs w:val="32"/>
        </w:rPr>
      </w:pPr>
      <w:bookmarkStart w:id="31" w:name="_Toc58576635"/>
      <w:bookmarkStart w:id="32" w:name="_Toc55403940"/>
    </w:p>
    <w:p>
      <w:pPr>
        <w:spacing w:after="240" w:line="570" w:lineRule="exact"/>
        <w:jc w:val="center"/>
        <w:rPr>
          <w:rFonts w:hint="eastAsia" w:ascii="方正黑体_GBK" w:eastAsia="方正黑体_GBK"/>
          <w:sz w:val="32"/>
          <w:szCs w:val="32"/>
        </w:rPr>
      </w:pPr>
      <w:r>
        <w:rPr>
          <w:rFonts w:hint="eastAsia" w:ascii="方正黑体_GBK" w:eastAsia="方正黑体_GBK"/>
          <w:sz w:val="32"/>
          <w:szCs w:val="32"/>
        </w:rPr>
        <w:t>第四章  打造工业智造明星城</w:t>
      </w:r>
      <w:bookmarkEnd w:id="31"/>
      <w:bookmarkEnd w:id="32"/>
    </w:p>
    <w:p>
      <w:pPr>
        <w:spacing w:line="570" w:lineRule="exact"/>
        <w:ind w:firstLine="640" w:firstLineChars="200"/>
        <w:rPr>
          <w:rFonts w:eastAsia="方正仿宋_GBK"/>
          <w:sz w:val="32"/>
          <w:szCs w:val="32"/>
        </w:rPr>
      </w:pPr>
      <w:r>
        <w:rPr>
          <w:rFonts w:eastAsia="方正仿宋_GBK"/>
          <w:sz w:val="32"/>
          <w:szCs w:val="32"/>
        </w:rPr>
        <w:t>坚持以高端化、智能化、绿色化、服务化、品牌化为引领，抢抓新工业、新能源、新基建、新动能机遇，培育具备国际竞争力的先进制造业集群，推动先进制造业与现代服务业深度融合发展，构筑数字经济集聚发展新优势，全力推进高质量工业智造明星城建设。</w:t>
      </w:r>
    </w:p>
    <w:p>
      <w:pPr>
        <w:spacing w:before="240" w:after="240" w:line="570" w:lineRule="exact"/>
        <w:jc w:val="center"/>
        <w:rPr>
          <w:rFonts w:hint="eastAsia" w:ascii="方正楷体_GBK" w:eastAsia="方正楷体_GBK"/>
          <w:sz w:val="32"/>
          <w:szCs w:val="32"/>
        </w:rPr>
      </w:pPr>
      <w:bookmarkStart w:id="33" w:name="_Toc58576636"/>
      <w:bookmarkStart w:id="34" w:name="_Toc55403941"/>
      <w:r>
        <w:rPr>
          <w:rFonts w:hint="eastAsia" w:ascii="方正楷体_GBK" w:eastAsia="方正楷体_GBK"/>
          <w:sz w:val="32"/>
          <w:szCs w:val="32"/>
        </w:rPr>
        <w:t>第一节  建设具有国际竞争力的先进制造业基地</w:t>
      </w:r>
      <w:bookmarkEnd w:id="33"/>
      <w:bookmarkEnd w:id="34"/>
    </w:p>
    <w:p>
      <w:pPr>
        <w:spacing w:line="570" w:lineRule="exact"/>
        <w:ind w:firstLine="640" w:firstLineChars="200"/>
        <w:rPr>
          <w:rFonts w:hint="eastAsia" w:eastAsia="方正仿宋_GBK"/>
          <w:sz w:val="32"/>
          <w:szCs w:val="32"/>
        </w:rPr>
      </w:pPr>
      <w:r>
        <w:rPr>
          <w:rFonts w:eastAsia="方正仿宋_GBK"/>
          <w:sz w:val="32"/>
          <w:szCs w:val="32"/>
        </w:rPr>
        <w:t>壮大先进制造业集群。</w:t>
      </w:r>
      <w:r>
        <w:rPr>
          <w:rFonts w:eastAsia="方正仿宋_GBK"/>
          <w:bCs/>
          <w:sz w:val="32"/>
          <w:szCs w:val="32"/>
        </w:rPr>
        <w:t>统筹主导产业壮大、新兴产业培育、传统产业升级与未来产业布局，</w:t>
      </w:r>
      <w:r>
        <w:rPr>
          <w:rFonts w:eastAsia="方正仿宋_GBK"/>
          <w:sz w:val="32"/>
          <w:szCs w:val="32"/>
        </w:rPr>
        <w:t>培育壮大高端装备、绿色精品钢、汽车及核心零部件、新一代信息技术、新材料、新能源、电力装备、轨道交通、生物医药及新型医疗器械、新型纺织服装等十大先进制造业集群。建立健全集群培育推进机制，实施“一群一策”，打造一批大中小企业创新协同、产能共享、供应链互通平台，推进实施工业强基固本、集群短板突破、质量品牌提档升级等行动，培育一批世界顶尖产品、全国知名品牌，促进集群价值链整体跃升。到2025年，高端装备、新能源、新材料等集群发展力争达到国际先进水平，全市工业规模总量力争突破2万亿元。</w:t>
      </w:r>
    </w:p>
    <w:p>
      <w:pPr>
        <w:spacing w:line="570" w:lineRule="exact"/>
        <w:ind w:firstLine="640" w:firstLineChars="200"/>
        <w:rPr>
          <w:rFonts w:eastAsia="方正仿宋_GBK"/>
          <w:sz w:val="32"/>
          <w:szCs w:val="32"/>
        </w:rPr>
      </w:pP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560" w:lineRule="exact"/>
              <w:jc w:val="center"/>
              <w:rPr>
                <w:rFonts w:eastAsia="方正仿宋_GBK"/>
                <w:bCs/>
                <w:sz w:val="28"/>
                <w:szCs w:val="28"/>
              </w:rPr>
            </w:pPr>
            <w:r>
              <w:rPr>
                <w:rFonts w:eastAsia="方正仿宋_GBK"/>
                <w:bCs/>
                <w:sz w:val="28"/>
                <w:szCs w:val="28"/>
              </w:rPr>
              <w:t>专栏4-1</w:t>
            </w:r>
            <w:r>
              <w:rPr>
                <w:rFonts w:hint="eastAsia" w:eastAsia="方正仿宋_GBK"/>
                <w:bCs/>
                <w:sz w:val="28"/>
                <w:szCs w:val="28"/>
              </w:rPr>
              <w:t xml:space="preserve">  </w:t>
            </w:r>
            <w:r>
              <w:rPr>
                <w:rFonts w:eastAsia="方正仿宋_GBK"/>
                <w:bCs/>
                <w:sz w:val="28"/>
                <w:szCs w:val="28"/>
              </w:rPr>
              <w:t>十大产业集群重点发展方向</w:t>
            </w:r>
          </w:p>
          <w:p>
            <w:pPr>
              <w:spacing w:line="440" w:lineRule="exact"/>
              <w:ind w:firstLine="560" w:firstLineChars="200"/>
              <w:rPr>
                <w:rFonts w:eastAsia="方正仿宋_GBK"/>
                <w:sz w:val="28"/>
                <w:szCs w:val="28"/>
              </w:rPr>
            </w:pPr>
            <w:r>
              <w:rPr>
                <w:rFonts w:eastAsia="方正仿宋_GBK"/>
                <w:bCs/>
                <w:sz w:val="28"/>
                <w:szCs w:val="28"/>
              </w:rPr>
              <w:t>高端装备：</w:t>
            </w:r>
            <w:r>
              <w:rPr>
                <w:rFonts w:eastAsia="方正仿宋_GBK"/>
                <w:sz w:val="28"/>
                <w:szCs w:val="28"/>
              </w:rPr>
              <w:t>在高精密减速器、高档伺服系统、高精度液压传动系统、智能数控系统、在线远程诊断、机器人等方面形成突破；</w:t>
            </w:r>
          </w:p>
          <w:p>
            <w:pPr>
              <w:spacing w:line="440" w:lineRule="exact"/>
              <w:ind w:firstLine="560" w:firstLineChars="200"/>
              <w:rPr>
                <w:rFonts w:eastAsia="方正仿宋_GBK"/>
                <w:sz w:val="28"/>
                <w:szCs w:val="28"/>
              </w:rPr>
            </w:pPr>
            <w:r>
              <w:rPr>
                <w:rFonts w:eastAsia="方正仿宋_GBK"/>
                <w:bCs/>
                <w:sz w:val="28"/>
                <w:szCs w:val="28"/>
              </w:rPr>
              <w:t>绿色精品钢：</w:t>
            </w:r>
            <w:r>
              <w:rPr>
                <w:rFonts w:eastAsia="方正仿宋_GBK"/>
                <w:sz w:val="28"/>
                <w:szCs w:val="28"/>
              </w:rPr>
              <w:t>在高性能基础件用特殊棒线材、高品质锻轧材、高强度建筑用钢等方面形成突破；</w:t>
            </w:r>
          </w:p>
          <w:p>
            <w:pPr>
              <w:spacing w:line="440" w:lineRule="exact"/>
              <w:ind w:firstLine="560" w:firstLineChars="200"/>
              <w:rPr>
                <w:rFonts w:eastAsia="方正仿宋_GBK"/>
                <w:sz w:val="28"/>
                <w:szCs w:val="28"/>
              </w:rPr>
            </w:pPr>
            <w:r>
              <w:rPr>
                <w:rFonts w:eastAsia="方正仿宋_GBK"/>
                <w:bCs/>
                <w:sz w:val="28"/>
                <w:szCs w:val="28"/>
              </w:rPr>
              <w:t>汽车及核心零部件：</w:t>
            </w:r>
            <w:r>
              <w:rPr>
                <w:rFonts w:eastAsia="方正仿宋_GBK"/>
                <w:sz w:val="28"/>
                <w:szCs w:val="28"/>
              </w:rPr>
              <w:t>在动力电池、驱动电机、先进变速器、智能控制等方面形成突破，在智能网联汽车等领域加强前瞻布局，构建从关键零部件到整车的完整产业体系；</w:t>
            </w:r>
          </w:p>
          <w:p>
            <w:pPr>
              <w:spacing w:line="440" w:lineRule="exact"/>
              <w:ind w:firstLine="560" w:firstLineChars="200"/>
              <w:rPr>
                <w:rFonts w:eastAsia="方正仿宋_GBK"/>
                <w:sz w:val="28"/>
                <w:szCs w:val="28"/>
              </w:rPr>
            </w:pPr>
            <w:r>
              <w:rPr>
                <w:rFonts w:eastAsia="方正仿宋_GBK"/>
                <w:bCs/>
                <w:sz w:val="28"/>
                <w:szCs w:val="28"/>
              </w:rPr>
              <w:t>新一代信息技术：</w:t>
            </w:r>
            <w:r>
              <w:rPr>
                <w:rFonts w:eastAsia="方正仿宋_GBK"/>
                <w:sz w:val="28"/>
                <w:szCs w:val="28"/>
              </w:rPr>
              <w:t>在集成电路、信息通讯设备、工业软件、工业互联网、创业专有云等方面形成突破，在5G基站建设、大数据中心、人工智能、区块链、空天信息、卫星遥感等领域加强前瞻布局；</w:t>
            </w:r>
          </w:p>
          <w:p>
            <w:pPr>
              <w:spacing w:line="440" w:lineRule="exact"/>
              <w:ind w:firstLine="560" w:firstLineChars="200"/>
              <w:rPr>
                <w:rFonts w:eastAsia="方正仿宋_GBK"/>
                <w:sz w:val="28"/>
                <w:szCs w:val="28"/>
              </w:rPr>
            </w:pPr>
            <w:r>
              <w:rPr>
                <w:rFonts w:eastAsia="方正仿宋_GBK"/>
                <w:bCs/>
                <w:sz w:val="28"/>
                <w:szCs w:val="28"/>
              </w:rPr>
              <w:t>新材料：</w:t>
            </w:r>
            <w:r>
              <w:rPr>
                <w:rFonts w:eastAsia="方正仿宋_GBK"/>
                <w:sz w:val="28"/>
                <w:szCs w:val="28"/>
              </w:rPr>
              <w:t>在特种石墨材料、石墨烯、高性能碳纤维以及新型功能材料、新型电子材料等方面形成突破，在稀土材料、增材制造材料、固态电池材料等领域加强前瞻布局；</w:t>
            </w:r>
          </w:p>
          <w:p>
            <w:pPr>
              <w:spacing w:line="440" w:lineRule="exact"/>
              <w:ind w:firstLine="560" w:firstLineChars="200"/>
              <w:rPr>
                <w:rFonts w:eastAsia="方正仿宋_GBK"/>
                <w:sz w:val="28"/>
                <w:szCs w:val="28"/>
              </w:rPr>
            </w:pPr>
            <w:r>
              <w:rPr>
                <w:rFonts w:eastAsia="方正仿宋_GBK"/>
                <w:bCs/>
                <w:sz w:val="28"/>
                <w:szCs w:val="28"/>
              </w:rPr>
              <w:t>新能源：</w:t>
            </w:r>
            <w:r>
              <w:rPr>
                <w:rFonts w:eastAsia="方正仿宋_GBK"/>
                <w:sz w:val="28"/>
                <w:szCs w:val="28"/>
              </w:rPr>
              <w:t>在新一代光伏核心技术、风电、能源互联网、光热设备制造和系统集成等方面形成突破，在氢能等领域加强产业链布局；</w:t>
            </w:r>
          </w:p>
          <w:p>
            <w:pPr>
              <w:spacing w:line="440" w:lineRule="exact"/>
              <w:ind w:firstLine="560" w:firstLineChars="200"/>
              <w:rPr>
                <w:rFonts w:eastAsia="方正仿宋_GBK"/>
                <w:sz w:val="28"/>
                <w:szCs w:val="28"/>
              </w:rPr>
            </w:pPr>
            <w:r>
              <w:rPr>
                <w:rFonts w:eastAsia="方正仿宋_GBK"/>
                <w:bCs/>
                <w:sz w:val="28"/>
                <w:szCs w:val="28"/>
              </w:rPr>
              <w:t>电力装备：</w:t>
            </w:r>
            <w:r>
              <w:rPr>
                <w:rFonts w:eastAsia="方正仿宋_GBK"/>
                <w:sz w:val="28"/>
                <w:szCs w:val="28"/>
              </w:rPr>
              <w:t>在新能源并网及控制设备、智能输变电设备、智能配用电设备和智能调度通信系统等方面形成突破；</w:t>
            </w:r>
          </w:p>
          <w:p>
            <w:pPr>
              <w:spacing w:line="440" w:lineRule="exact"/>
              <w:ind w:firstLine="560" w:firstLineChars="200"/>
              <w:rPr>
                <w:rFonts w:eastAsia="方正仿宋_GBK"/>
                <w:sz w:val="28"/>
                <w:szCs w:val="28"/>
              </w:rPr>
            </w:pPr>
            <w:r>
              <w:rPr>
                <w:rFonts w:eastAsia="方正仿宋_GBK"/>
                <w:bCs/>
                <w:sz w:val="28"/>
                <w:szCs w:val="28"/>
              </w:rPr>
              <w:t>轨道交通：</w:t>
            </w:r>
            <w:r>
              <w:rPr>
                <w:rFonts w:eastAsia="方正仿宋_GBK"/>
                <w:sz w:val="28"/>
                <w:szCs w:val="28"/>
              </w:rPr>
              <w:t>在车体、转向架等关键零部件制造及整车制造等方面形成突破，加快进口关键零部件国产化替代，建设长三角区域轨道交通装备维保中心，实现轨道交通车辆从局部制造向整体开发、集成开发的跨越；</w:t>
            </w:r>
          </w:p>
          <w:p>
            <w:pPr>
              <w:spacing w:line="440" w:lineRule="exact"/>
              <w:ind w:firstLine="560" w:firstLineChars="200"/>
              <w:rPr>
                <w:rFonts w:eastAsia="方正仿宋_GBK"/>
                <w:sz w:val="28"/>
                <w:szCs w:val="28"/>
              </w:rPr>
            </w:pPr>
            <w:r>
              <w:rPr>
                <w:rFonts w:eastAsia="方正仿宋_GBK"/>
                <w:bCs/>
                <w:sz w:val="28"/>
                <w:szCs w:val="28"/>
              </w:rPr>
              <w:t>生物医药及新型医疗器械：</w:t>
            </w:r>
            <w:r>
              <w:rPr>
                <w:rFonts w:eastAsia="方正仿宋_GBK"/>
                <w:sz w:val="28"/>
                <w:szCs w:val="28"/>
              </w:rPr>
              <w:t>在新型疫苗、蛋白质药物、诊断试剂等生物制药以及高性能医学影像设备、医用机器人以及数字化微创或无创诊疗设备等方面形成突破，在精准医疗、免疫细胞治疗、蛋白元件库及合成生物等领域加强前瞻布局；</w:t>
            </w:r>
          </w:p>
          <w:p>
            <w:pPr>
              <w:spacing w:line="440" w:lineRule="exact"/>
              <w:ind w:firstLine="560" w:firstLineChars="200"/>
              <w:rPr>
                <w:sz w:val="28"/>
                <w:szCs w:val="28"/>
              </w:rPr>
            </w:pPr>
            <w:r>
              <w:rPr>
                <w:rFonts w:eastAsia="方正仿宋_GBK"/>
                <w:bCs/>
                <w:sz w:val="28"/>
                <w:szCs w:val="28"/>
              </w:rPr>
              <w:t>新型纺织服装：</w:t>
            </w:r>
            <w:r>
              <w:rPr>
                <w:rFonts w:eastAsia="方正仿宋_GBK"/>
                <w:sz w:val="28"/>
                <w:szCs w:val="28"/>
              </w:rPr>
              <w:t>在新型纺织材料研发应用、纺织品后整理水平、设计能力以及自主品牌建设等方面形成突破。</w:t>
            </w:r>
          </w:p>
        </w:tc>
      </w:tr>
    </w:tbl>
    <w:p>
      <w:pPr>
        <w:spacing w:line="570" w:lineRule="exact"/>
        <w:ind w:firstLine="640" w:firstLineChars="200"/>
        <w:rPr>
          <w:rFonts w:eastAsia="方正仿宋_GBK"/>
          <w:sz w:val="32"/>
          <w:szCs w:val="32"/>
        </w:rPr>
      </w:pPr>
      <w:r>
        <w:rPr>
          <w:rFonts w:eastAsia="方正仿宋_GBK"/>
          <w:sz w:val="32"/>
          <w:szCs w:val="32"/>
        </w:rPr>
        <w:t>提升产业链现代化水平。深入实施“建链、补链、长链、强链、固链”工程，全面实施“链长制”，加强产业链精准招商，重点打造集成电路、机器人、工业和能源互联网、新能源（智能网联）汽车、碳复合材料、生物医药、空天信息、5G</w:t>
      </w:r>
      <w:r>
        <w:rPr>
          <w:rFonts w:hint="eastAsia" w:eastAsia="方正仿宋_GBK"/>
          <w:sz w:val="32"/>
          <w:szCs w:val="32"/>
        </w:rPr>
        <w:t>通信</w:t>
      </w:r>
      <w:r>
        <w:rPr>
          <w:rFonts w:eastAsia="方正仿宋_GBK"/>
          <w:sz w:val="32"/>
          <w:szCs w:val="32"/>
        </w:rPr>
        <w:t>等标志性产业链。支持产业链龙头企业加强产业链垂直整合、兼并重组，提高全球产业链、价值链关键环节的控制力。促进产业链优势企业与专业配套企业集群协同发展，加强供应链协同、生产资源流通，鼓励共享制造等新型生产组织方式。</w:t>
      </w:r>
      <w:r>
        <w:rPr>
          <w:rFonts w:hint="eastAsia" w:eastAsia="方正仿宋_GBK"/>
          <w:sz w:val="32"/>
          <w:szCs w:val="32"/>
        </w:rPr>
        <w:t>加快培育一批产业生态主导型的单打冠军和</w:t>
      </w:r>
      <w:r>
        <w:rPr>
          <w:rFonts w:eastAsia="方正仿宋_GBK"/>
          <w:sz w:val="32"/>
          <w:szCs w:val="32"/>
        </w:rPr>
        <w:t>“</w:t>
      </w:r>
      <w:r>
        <w:rPr>
          <w:rFonts w:hint="eastAsia" w:eastAsia="方正仿宋_GBK"/>
          <w:sz w:val="32"/>
          <w:szCs w:val="32"/>
        </w:rPr>
        <w:t>链主</w:t>
      </w:r>
      <w:r>
        <w:rPr>
          <w:rFonts w:eastAsia="方正仿宋_GBK"/>
          <w:sz w:val="32"/>
          <w:szCs w:val="32"/>
        </w:rPr>
        <w:t>”</w:t>
      </w:r>
      <w:r>
        <w:rPr>
          <w:rFonts w:hint="eastAsia" w:eastAsia="方正仿宋_GBK"/>
          <w:sz w:val="32"/>
          <w:szCs w:val="32"/>
        </w:rPr>
        <w:t>企业，着力营造高粘性、内生型产业生态，打造产业创新共同体，到2025年每条产业链拥有3-5家</w:t>
      </w:r>
      <w:r>
        <w:rPr>
          <w:rFonts w:eastAsia="方正仿宋_GBK"/>
          <w:sz w:val="32"/>
          <w:szCs w:val="32"/>
        </w:rPr>
        <w:t>“</w:t>
      </w:r>
      <w:r>
        <w:rPr>
          <w:rFonts w:hint="eastAsia" w:eastAsia="方正仿宋_GBK"/>
          <w:sz w:val="32"/>
          <w:szCs w:val="32"/>
        </w:rPr>
        <w:t>链主</w:t>
      </w:r>
      <w:r>
        <w:rPr>
          <w:rFonts w:eastAsia="方正仿宋_GBK"/>
          <w:sz w:val="32"/>
          <w:szCs w:val="32"/>
        </w:rPr>
        <w:t>”</w:t>
      </w:r>
      <w:r>
        <w:rPr>
          <w:rFonts w:hint="eastAsia" w:eastAsia="方正仿宋_GBK"/>
          <w:sz w:val="32"/>
          <w:szCs w:val="32"/>
        </w:rPr>
        <w:t>企业，加快形成“链主企业＋骨干企业＋高成长企业”的企业梯队。</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560" w:lineRule="exact"/>
              <w:jc w:val="center"/>
              <w:rPr>
                <w:rFonts w:hint="eastAsia" w:ascii="方正仿宋_GBK" w:eastAsia="方正仿宋_GBK"/>
                <w:sz w:val="28"/>
                <w:szCs w:val="28"/>
              </w:rPr>
            </w:pPr>
            <w:r>
              <w:rPr>
                <w:rFonts w:hint="eastAsia" w:ascii="方正仿宋_GBK" w:eastAsia="方正仿宋_GBK"/>
                <w:sz w:val="28"/>
                <w:szCs w:val="28"/>
              </w:rPr>
              <w:t>专栏4</w:t>
            </w:r>
            <w:r>
              <w:rPr>
                <w:rFonts w:eastAsia="方正仿宋_GBK"/>
                <w:bCs/>
                <w:sz w:val="28"/>
                <w:szCs w:val="28"/>
              </w:rPr>
              <w:t>-</w:t>
            </w:r>
            <w:r>
              <w:rPr>
                <w:rFonts w:hint="eastAsia" w:ascii="方正仿宋_GBK" w:eastAsia="方正仿宋_GBK"/>
                <w:sz w:val="28"/>
                <w:szCs w:val="28"/>
              </w:rPr>
              <w:t>2  标志性产业链发展重点</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集成电路：第三代半导体、专用设备芯片与通用芯片设计，集成电路配套材料，集成电路制造，集成电路封装与测试，集成电路制造关键设备等；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机器人：工业设计与伺服系统开发，精密减速机、伺服电机以及传感器等关键功能零部件，工业机器人、服务机器人、特种机器人集成制造等；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工业和能源互联网：系统技术研发和工业设计，控制器、智能网关、智能机床等硬件设备，工业和能源互联网平台架构、大型服务器与存储器等生产，工业设备企业上云、典型应用场景开发，工业云等大数据平台，系统集成商与整体解决方案开发等，打造智慧能源网、移动能源网；</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新能源（智能网联）汽车：汽车人机交互、模块化、轻量化等产学研以及工业创意设计，新能源汽车、L2级以上智能网联汽车整车制造，动力电池、充换电桩/站，电机、电控、雷达传感器等核心零部件，电动汽车、智能网联汽车销售与集成应用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碳复合材料：材料研发及工业设计，碳纤维原丝、碳纤维复合材料等相关产品生产，碳复合材料研制相关成套设备生产，碳纤维复合材料终端产品制造等；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生物医药：高水平国际化生物医药合同研发和生产服务平台、化学首仿药、生物创新药、高端医疗器械等；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空天信息：卫星、导航、遥感等空天信息技术基础研究和应用基础研究，空间信息综合服务云平台，专用芯片设计与研制，卫星等相关基础部件，终端服务设备与系统集成应用等；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5G通信：技术研究及网络建设规划，射频器件、光模块/光器件、小基站等无线主设备，光纤光缆等传输设备，移动通讯终端设备，发展无人驾驶、智慧城市等应用场景。</w:t>
            </w:r>
          </w:p>
        </w:tc>
      </w:tr>
    </w:tbl>
    <w:p>
      <w:pPr>
        <w:spacing w:line="570" w:lineRule="exact"/>
        <w:ind w:firstLine="640" w:firstLineChars="200"/>
        <w:rPr>
          <w:rFonts w:eastAsia="方正仿宋_GBK"/>
          <w:sz w:val="32"/>
          <w:szCs w:val="32"/>
        </w:rPr>
      </w:pPr>
      <w:r>
        <w:rPr>
          <w:rFonts w:eastAsia="方正仿宋_GBK"/>
          <w:sz w:val="32"/>
          <w:szCs w:val="32"/>
        </w:rPr>
        <w:t>改造提升传统产业。</w:t>
      </w:r>
      <w:r>
        <w:rPr>
          <w:rFonts w:hint="eastAsia" w:eastAsia="方正仿宋_GBK"/>
          <w:sz w:val="32"/>
          <w:szCs w:val="32"/>
        </w:rPr>
        <w:t>加快企业技术改造，支持加大技改投入，</w:t>
      </w:r>
      <w:r>
        <w:rPr>
          <w:rFonts w:eastAsia="方正仿宋_GBK"/>
          <w:sz w:val="32"/>
          <w:szCs w:val="32"/>
        </w:rPr>
        <w:t>提高装备水平，优化工艺流程，提升产品品质。提升智能制造水平，支持制造装备数字化换代、生产车间智能化升级、企业网络化发展，全面提升企业研发、生产、管理和服务的全流程智能化水平。妥善处置落后过剩产能，综合运用经济、法律、技术、环保等手段压减过剩产能，建立市场化法治化工作推进机制，依法依规关停退出能耗、环保、安全、技术达不到标准和生产不合格产品或淘汰类产能。</w:t>
      </w:r>
    </w:p>
    <w:p>
      <w:pPr>
        <w:spacing w:line="570" w:lineRule="exact"/>
        <w:ind w:firstLine="640" w:firstLineChars="200"/>
        <w:rPr>
          <w:rFonts w:eastAsia="方正仿宋_GBK"/>
          <w:sz w:val="32"/>
          <w:szCs w:val="32"/>
        </w:rPr>
      </w:pPr>
      <w:r>
        <w:rPr>
          <w:rFonts w:eastAsia="方正仿宋_GBK"/>
          <w:sz w:val="32"/>
          <w:szCs w:val="32"/>
        </w:rPr>
        <w:t>培育强竞争力企业。做强龙头企业，支持开展境内外并购，增强全球资源整合和竞争能力，培育壮大一批贡献份额大、带动力强的龙头企业，到2025年百亿元以上企业（集团）</w:t>
      </w:r>
      <w:r>
        <w:rPr>
          <w:rFonts w:hint="eastAsia" w:eastAsia="方正仿宋_GBK"/>
          <w:sz w:val="32"/>
          <w:szCs w:val="32"/>
        </w:rPr>
        <w:t>突破30</w:t>
      </w:r>
      <w:r>
        <w:rPr>
          <w:rFonts w:eastAsia="方正仿宋_GBK"/>
          <w:sz w:val="32"/>
          <w:szCs w:val="32"/>
        </w:rPr>
        <w:t>家。做优特色中小企业，鼓励专注发展有竞争力的产品，打造“专精特新”行业小巨人和</w:t>
      </w:r>
      <w:r>
        <w:rPr>
          <w:rFonts w:hint="eastAsia" w:eastAsia="方正仿宋_GBK"/>
          <w:sz w:val="32"/>
          <w:szCs w:val="32"/>
        </w:rPr>
        <w:t>国家制造业单项冠军</w:t>
      </w:r>
      <w:r>
        <w:rPr>
          <w:rFonts w:eastAsia="方正仿宋_GBK"/>
          <w:sz w:val="32"/>
          <w:szCs w:val="32"/>
        </w:rPr>
        <w:t>，到2025年重点培育形成300家以上“专精特新”示范企业。</w:t>
      </w:r>
    </w:p>
    <w:p>
      <w:pPr>
        <w:spacing w:before="240" w:after="240" w:line="570" w:lineRule="exact"/>
        <w:jc w:val="center"/>
        <w:rPr>
          <w:rFonts w:ascii="方正楷体_GBK" w:eastAsia="方正楷体_GBK"/>
          <w:sz w:val="32"/>
          <w:szCs w:val="32"/>
        </w:rPr>
      </w:pPr>
      <w:bookmarkStart w:id="35" w:name="_Toc55403942"/>
      <w:bookmarkStart w:id="36" w:name="_Toc58576637"/>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推动先进制造业与现代服务业深度融合</w:t>
      </w:r>
      <w:bookmarkEnd w:id="35"/>
      <w:bookmarkEnd w:id="36"/>
    </w:p>
    <w:p>
      <w:pPr>
        <w:spacing w:line="570" w:lineRule="exact"/>
        <w:ind w:firstLine="640" w:firstLineChars="200"/>
        <w:rPr>
          <w:rFonts w:eastAsia="方正仿宋_GBK"/>
          <w:sz w:val="32"/>
          <w:szCs w:val="32"/>
        </w:rPr>
      </w:pPr>
      <w:r>
        <w:rPr>
          <w:rFonts w:eastAsia="方正仿宋_GBK"/>
          <w:sz w:val="32"/>
          <w:szCs w:val="32"/>
        </w:rPr>
        <w:t>促进生产性服务业向专业化和价值链高端延伸。以产业升级需求为导向，大力发展产业金融、现代物流、检验检测认证、软件及工业设计等生产性服务业。提升服务业技术创新能力，打造一批面向服务领域的共性技术联合开发和推广平台，促进人工智能、大数据、物联网、区块链等新技术研发及其在服务领域的转化应用，推动服务业数字化、智能化。鼓励发展新业态新模式，积极开发个性化专业服务产品，促进精准服务、体验服务、聚合服务等新模式推广应用。实施生产性服务业集聚区提升发展行动、重点服务业企业培育计划，到2025年培育省级生产性服务业集聚示范区15家左右，培育形成市级重点服务业集聚区30家以上。</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560" w:lineRule="exact"/>
              <w:jc w:val="center"/>
              <w:rPr>
                <w:rFonts w:eastAsia="方正仿宋_GBK"/>
                <w:bCs/>
                <w:iCs/>
                <w:sz w:val="28"/>
                <w:szCs w:val="28"/>
              </w:rPr>
            </w:pPr>
            <w:r>
              <w:rPr>
                <w:rFonts w:eastAsia="方正仿宋_GBK"/>
                <w:bCs/>
                <w:iCs/>
                <w:sz w:val="28"/>
                <w:szCs w:val="28"/>
              </w:rPr>
              <w:t>专栏4-3</w:t>
            </w:r>
            <w:r>
              <w:rPr>
                <w:rFonts w:hint="eastAsia" w:eastAsia="方正仿宋_GBK"/>
                <w:bCs/>
                <w:iCs/>
                <w:sz w:val="28"/>
                <w:szCs w:val="28"/>
              </w:rPr>
              <w:t xml:space="preserve">  </w:t>
            </w:r>
            <w:r>
              <w:rPr>
                <w:rFonts w:eastAsia="方正仿宋_GBK"/>
                <w:bCs/>
                <w:iCs/>
                <w:sz w:val="28"/>
                <w:szCs w:val="28"/>
              </w:rPr>
              <w:t>生产性服务业重点发展领域</w:t>
            </w:r>
          </w:p>
          <w:p>
            <w:pPr>
              <w:spacing w:line="440" w:lineRule="exact"/>
              <w:ind w:firstLine="560" w:firstLineChars="200"/>
              <w:rPr>
                <w:rFonts w:eastAsia="方正仿宋_GBK"/>
                <w:bCs/>
                <w:sz w:val="28"/>
                <w:szCs w:val="28"/>
              </w:rPr>
            </w:pPr>
            <w:r>
              <w:rPr>
                <w:rFonts w:eastAsia="方正仿宋_GBK"/>
                <w:sz w:val="28"/>
                <w:szCs w:val="28"/>
              </w:rPr>
              <w:t>产业金融：</w:t>
            </w:r>
            <w:r>
              <w:rPr>
                <w:rFonts w:eastAsia="方正仿宋_GBK"/>
                <w:bCs/>
                <w:sz w:val="28"/>
                <w:szCs w:val="28"/>
              </w:rPr>
              <w:t>引导银行等金融业机构开展科技企业融资产品创新，加快天使投资、创业投资、股权投资发展，探索开发供应链金融、新能源金融、绿色金融、人才金融等新型产业金融形态。积极推进跨境人民币创新业务试点，争取开展知识产权金融创新及知识产权证券化试点。推动建设区域性股权市场、产权市场。推动在绿色循环低碳领域发行绿色债券融资。优化特色金融功能区布局，着力打造高铁新城金融商务中心，建成新龙湖国际金融广场；加快建设“龙城金谷”，打造金融服务改革示范区，集聚机构数量超1000家，管理资产规模超5000亿元。</w:t>
            </w:r>
          </w:p>
          <w:p>
            <w:pPr>
              <w:spacing w:line="440" w:lineRule="exact"/>
              <w:ind w:firstLine="560" w:firstLineChars="200"/>
              <w:rPr>
                <w:rFonts w:eastAsia="方正仿宋_GBK"/>
                <w:bCs/>
                <w:sz w:val="28"/>
                <w:szCs w:val="28"/>
              </w:rPr>
            </w:pPr>
            <w:r>
              <w:rPr>
                <w:rFonts w:eastAsia="方正仿宋_GBK"/>
                <w:sz w:val="28"/>
                <w:szCs w:val="28"/>
              </w:rPr>
              <w:t>现代物流：</w:t>
            </w:r>
            <w:r>
              <w:rPr>
                <w:rFonts w:eastAsia="方正仿宋_GBK"/>
                <w:bCs/>
                <w:sz w:val="28"/>
                <w:szCs w:val="28"/>
              </w:rPr>
              <w:t>以打造枢纽节点、畅通物流通道、完善物流网络为核心，重点建设综合港务区、武南物流园、金坛公路港物流园、溧阳中关村港口物流园、钟楼现代物流园。以智慧物流为主攻方向，加强物流主体的培育和引进，扩大物流服务供给，大力发展冷链、电商、供应链等新物流业态，提升物流服务能级。</w:t>
            </w:r>
          </w:p>
          <w:p>
            <w:pPr>
              <w:spacing w:line="440" w:lineRule="exact"/>
              <w:ind w:firstLine="560" w:firstLineChars="200"/>
              <w:rPr>
                <w:rFonts w:eastAsia="方正仿宋_GBK"/>
                <w:bCs/>
                <w:sz w:val="28"/>
                <w:szCs w:val="28"/>
              </w:rPr>
            </w:pPr>
            <w:r>
              <w:rPr>
                <w:rFonts w:eastAsia="方正仿宋_GBK"/>
                <w:sz w:val="28"/>
                <w:szCs w:val="28"/>
              </w:rPr>
              <w:t>检验检测认证：</w:t>
            </w:r>
            <w:r>
              <w:rPr>
                <w:rFonts w:eastAsia="方正仿宋_GBK"/>
                <w:bCs/>
                <w:sz w:val="28"/>
                <w:szCs w:val="28"/>
              </w:rPr>
              <w:t>加大国内外知名检验检测机构集聚，着力推动检验检测认证产业发展和专业人才队伍培养，推进检验检测主体多元化发展，加快打造中国常州检验检测认证产业园、武进汽车检验检测产业基地等品牌、服务优势，推动常州科教城创建国家级机器人检测中心。</w:t>
            </w:r>
          </w:p>
          <w:p>
            <w:pPr>
              <w:spacing w:line="440" w:lineRule="exact"/>
              <w:ind w:firstLine="560" w:firstLineChars="200"/>
              <w:rPr>
                <w:rFonts w:eastAsia="方正仿宋_GBK"/>
                <w:bCs/>
                <w:iCs/>
                <w:szCs w:val="32"/>
              </w:rPr>
            </w:pPr>
            <w:r>
              <w:rPr>
                <w:rFonts w:eastAsia="方正仿宋_GBK"/>
                <w:sz w:val="28"/>
                <w:szCs w:val="28"/>
              </w:rPr>
              <w:t>软件及工业设计：</w:t>
            </w:r>
            <w:r>
              <w:rPr>
                <w:rFonts w:eastAsia="方正仿宋_GBK"/>
                <w:bCs/>
                <w:sz w:val="28"/>
                <w:szCs w:val="28"/>
              </w:rPr>
              <w:t>重点支持基于数据模型驱动的工业软件集成，培育一批为智能制造提供配套服务的工业软件龙头骨干企业。推动省级以上工业设计中心加强工业设计基础研究和关键性技术研发，创建省级以上工业设计研究院。搭建网络化协同平台，推广应用众创、众包、众设等模式</w:t>
            </w:r>
            <w:r>
              <w:rPr>
                <w:rFonts w:hint="eastAsia" w:eastAsia="方正仿宋_GBK"/>
                <w:bCs/>
                <w:sz w:val="28"/>
                <w:szCs w:val="28"/>
              </w:rPr>
              <w:t>，</w:t>
            </w:r>
            <w:r>
              <w:rPr>
                <w:rFonts w:eastAsia="方正仿宋_GBK"/>
                <w:bCs/>
                <w:sz w:val="28"/>
                <w:szCs w:val="28"/>
              </w:rPr>
              <w:t>推进设计成果转化应用。培育形成工业设计中心100家以上。</w:t>
            </w:r>
          </w:p>
        </w:tc>
      </w:tr>
    </w:tbl>
    <w:p>
      <w:pPr>
        <w:spacing w:line="570" w:lineRule="exact"/>
        <w:ind w:firstLine="640" w:firstLineChars="200"/>
        <w:rPr>
          <w:rFonts w:eastAsia="方正仿宋_GBK"/>
          <w:sz w:val="32"/>
          <w:szCs w:val="32"/>
        </w:rPr>
      </w:pPr>
      <w:r>
        <w:rPr>
          <w:rFonts w:eastAsia="方正仿宋_GBK"/>
          <w:sz w:val="32"/>
          <w:szCs w:val="32"/>
        </w:rPr>
        <w:t>加快提升“两业”融合发展水平。突出企业全生命周期服务和制造业全产业链条嵌入，培育“两业融合”发展新业态、新模式，推进实施“两业”深度融合试点示范工程，以龙头骨干企业、产业集群、区域集聚发展等融合试点构建产业链双向融合互动机制，培育一批具备“智能制造+增值服务”功能的“两业”深度融合标杆企业，打造一批“两业”深度融合的优势产业链条、新型产业集群、融合示范载体和产业生态圈。到2025年</w:t>
      </w:r>
      <w:r>
        <w:rPr>
          <w:rFonts w:hint="eastAsia" w:eastAsia="方正仿宋_GBK"/>
          <w:sz w:val="32"/>
          <w:szCs w:val="32"/>
        </w:rPr>
        <w:t>，</w:t>
      </w:r>
      <w:r>
        <w:rPr>
          <w:rFonts w:eastAsia="方正仿宋_GBK"/>
          <w:sz w:val="32"/>
          <w:szCs w:val="32"/>
        </w:rPr>
        <w:t>培育省级“两业”深度融合试点单位30家以上，形成市级“两业”融合试点单位200家以上，积极创建国家“两业”融合发展示范区。</w:t>
      </w:r>
    </w:p>
    <w:p>
      <w:pPr>
        <w:spacing w:before="240" w:after="240" w:line="570" w:lineRule="exact"/>
        <w:jc w:val="center"/>
        <w:rPr>
          <w:rFonts w:ascii="方正楷体_GBK" w:eastAsia="方正楷体_GBK"/>
          <w:sz w:val="32"/>
          <w:szCs w:val="32"/>
        </w:rPr>
      </w:pPr>
      <w:bookmarkStart w:id="37" w:name="_Toc58576638"/>
      <w:bookmarkStart w:id="38" w:name="_Toc55403943"/>
      <w:r>
        <w:rPr>
          <w:rFonts w:ascii="方正楷体_GBK" w:eastAsia="方正楷体_GBK"/>
          <w:sz w:val="32"/>
          <w:szCs w:val="32"/>
        </w:rPr>
        <w:t>第三节</w:t>
      </w:r>
      <w:r>
        <w:rPr>
          <w:rFonts w:hint="eastAsia" w:ascii="方正楷体_GBK" w:eastAsia="方正楷体_GBK"/>
          <w:sz w:val="32"/>
          <w:szCs w:val="32"/>
        </w:rPr>
        <w:t xml:space="preserve">  </w:t>
      </w:r>
      <w:r>
        <w:rPr>
          <w:rFonts w:ascii="方正楷体_GBK" w:eastAsia="方正楷体_GBK"/>
          <w:sz w:val="32"/>
          <w:szCs w:val="32"/>
        </w:rPr>
        <w:t>建设数字经济强市</w:t>
      </w:r>
      <w:bookmarkEnd w:id="37"/>
      <w:bookmarkEnd w:id="38"/>
    </w:p>
    <w:p>
      <w:pPr>
        <w:spacing w:line="570" w:lineRule="exact"/>
        <w:ind w:firstLine="640" w:firstLineChars="200"/>
        <w:rPr>
          <w:rFonts w:eastAsia="方正仿宋_GBK"/>
          <w:sz w:val="32"/>
          <w:szCs w:val="32"/>
        </w:rPr>
      </w:pPr>
      <w:r>
        <w:rPr>
          <w:rFonts w:eastAsia="方正仿宋_GBK"/>
          <w:sz w:val="32"/>
          <w:szCs w:val="32"/>
        </w:rPr>
        <w:t>培育壮大数字经济核心产业。实施数字产业倍增计划，重点发展新型电子、集成电路、工业和能源互联网等特色优势产业，培育5G、大数据、物联网、云计算、人工智能、区块链及数字终端产业链。深入实施工业互联网创新工程，构建若干行业领先的工业互联网平台，培育壮大重点行业应用场景，高水平推进长三角基础制造业一体化工业互联网公共服务平台、国家健康医疗大数据常州中心、航天云网工业大数据平台、常州工业互联网研究院等建设，争取设立国家工业互联网数据交换中心。加快数字经济领域特色产业创新基地建设，支持常州高新区、武进高新区、西太湖科技产业园打造国家数字经济建设示范区，支持常州科教城、创意产业园、大数据产业园等建设数字经济创新试验区，支持智慧健康云打造省健康医疗大数据核心云平台。</w:t>
      </w:r>
    </w:p>
    <w:p>
      <w:pPr>
        <w:spacing w:line="570" w:lineRule="exact"/>
        <w:ind w:firstLine="640" w:firstLineChars="200"/>
        <w:rPr>
          <w:rFonts w:eastAsia="方正仿宋_GBK"/>
          <w:sz w:val="32"/>
          <w:szCs w:val="32"/>
        </w:rPr>
      </w:pPr>
      <w:r>
        <w:rPr>
          <w:rFonts w:eastAsia="方正仿宋_GBK"/>
          <w:sz w:val="32"/>
          <w:szCs w:val="32"/>
        </w:rPr>
        <w:t>推进产业数字化转型升级。实施制造业数字化转型升级和工业企业上云行动，推进生产装备智能化改造和网络化互联，建设一批智能车间和智能工厂，培育一批星级上云企业。创新数字化供应链管理模式，着力提高精准制造、敏捷制造、柔性制造、网络协同制造、大规模个性化定制能力，支持长江智能制造研究院等智能制造系统集成服务运营商做大做强。推动贸易、金融、物流、文旅、设计、零售等行业数字化创新发展。大力发展智慧农业，建设一批省级数字农业农村基地。</w:t>
      </w:r>
    </w:p>
    <w:p>
      <w:pPr>
        <w:spacing w:line="570" w:lineRule="exact"/>
        <w:ind w:firstLine="640" w:firstLineChars="200"/>
        <w:rPr>
          <w:rFonts w:eastAsia="方正仿宋_GBK"/>
          <w:sz w:val="32"/>
          <w:szCs w:val="32"/>
        </w:rPr>
      </w:pPr>
      <w:r>
        <w:rPr>
          <w:rFonts w:eastAsia="方正仿宋_GBK"/>
          <w:sz w:val="32"/>
          <w:szCs w:val="32"/>
        </w:rPr>
        <w:t>全面推动数字化社会应用。完善数字化政务系统，建好公用政务云，建设覆盖延伸至村（社区）的新一代电子政务外网，实现政务信息系统全部上云，做优做强一体化在线政务服务、“互联网+监管”、江苏政务服务APP·常州等平台。提升政府治理数字化水平，编制实施政务服务“一件事”、社会治理“一类事”、政府运行“一项事”等“三清单”，加快推动人证核验、电子印章、电子证照、电子档案和统一公共支付等系统建设与应用。前瞻布局数字社会，大力推进“人工智能+”，积极构建“智慧医疗”“智慧出行”“智慧养老”“智慧监管”等民生应用场景，加快推动“城市大脑”建设，探索构建“智慧城市运行图”，深入实施信息惠民工程，加快智能化泛在感知体系建设。</w:t>
      </w:r>
    </w:p>
    <w:p>
      <w:pPr>
        <w:spacing w:line="570" w:lineRule="exact"/>
        <w:ind w:firstLine="640" w:firstLineChars="200"/>
        <w:rPr>
          <w:rFonts w:eastAsia="方正仿宋_GBK"/>
          <w:sz w:val="32"/>
          <w:szCs w:val="32"/>
        </w:rPr>
      </w:pPr>
      <w:r>
        <w:rPr>
          <w:rFonts w:eastAsia="方正仿宋_GBK"/>
          <w:sz w:val="32"/>
          <w:szCs w:val="32"/>
        </w:rPr>
        <w:t>加快新型数字基础设施建设。实施5G网络建设发展工程，加快推进5G基站建设布局，基本建成覆盖全市、深度应用的5G网络。加快光纤网络扩容，实现光纤千兆家庭、商务万兆固网接入能力基本全覆盖，率先完成“双千兆宽带城市”建设。落实国家互联网重大基础设施——“根域名服务器”常州节点建设，组织企业开展关键技术攻关、应用和相关设备研制。推进IPv6规模部署和示范应用，统筹推进全市骨干网、城域网、接入网建设。推动物联网有序健康发展，率先布局车联网（智能网联汽车）基础设施和服务平台</w:t>
      </w:r>
      <w:r>
        <w:rPr>
          <w:rFonts w:hint="eastAsia" w:eastAsia="方正仿宋_GBK"/>
          <w:sz w:val="32"/>
          <w:szCs w:val="32"/>
        </w:rPr>
        <w:t>，</w:t>
      </w:r>
      <w:r>
        <w:rPr>
          <w:rFonts w:eastAsia="方正仿宋_GBK"/>
          <w:sz w:val="32"/>
          <w:szCs w:val="32"/>
        </w:rPr>
        <w:t>推进新一代国家交通控制网试点工程建设</w:t>
      </w:r>
      <w:r>
        <w:rPr>
          <w:rFonts w:hint="eastAsia" w:eastAsia="方正仿宋_GBK"/>
          <w:sz w:val="32"/>
          <w:szCs w:val="32"/>
        </w:rPr>
        <w:t>，</w:t>
      </w:r>
      <w:r>
        <w:rPr>
          <w:rFonts w:eastAsia="方正仿宋_GBK"/>
          <w:sz w:val="32"/>
          <w:szCs w:val="32"/>
        </w:rPr>
        <w:t>加快天宁区自动驾驶公交线示范运营。推动高效协同计算设施建设，前瞻研究布局6G、量子通信网络，支持有条件的企业开展基于国家未来网络重大基础设施（CENI）关键技术攻关和通用设备研制。支持钟楼集聚区域数据中心，打造区域算力中心。</w:t>
      </w:r>
    </w:p>
    <w:p>
      <w:pPr>
        <w:spacing w:before="240" w:after="240" w:line="570" w:lineRule="exact"/>
        <w:jc w:val="center"/>
        <w:rPr>
          <w:rFonts w:ascii="方正楷体_GBK" w:eastAsia="方正楷体_GBK"/>
          <w:sz w:val="32"/>
          <w:szCs w:val="32"/>
        </w:rPr>
      </w:pPr>
      <w:bookmarkStart w:id="39" w:name="_Toc58576639"/>
      <w:r>
        <w:rPr>
          <w:rFonts w:ascii="方正楷体_GBK" w:eastAsia="方正楷体_GBK"/>
          <w:sz w:val="32"/>
          <w:szCs w:val="32"/>
        </w:rPr>
        <w:t>第四节</w:t>
      </w:r>
      <w:r>
        <w:rPr>
          <w:rFonts w:hint="eastAsia" w:ascii="方正楷体_GBK" w:eastAsia="方正楷体_GBK"/>
          <w:sz w:val="32"/>
          <w:szCs w:val="32"/>
        </w:rPr>
        <w:t xml:space="preserve">  </w:t>
      </w:r>
      <w:r>
        <w:rPr>
          <w:rFonts w:ascii="方正楷体_GBK" w:eastAsia="方正楷体_GBK"/>
          <w:sz w:val="32"/>
          <w:szCs w:val="32"/>
        </w:rPr>
        <w:t>建设更高水平产业园区</w:t>
      </w:r>
      <w:bookmarkEnd w:id="39"/>
    </w:p>
    <w:p>
      <w:pPr>
        <w:spacing w:line="570" w:lineRule="exact"/>
        <w:ind w:firstLine="640" w:firstLineChars="200"/>
        <w:rPr>
          <w:rFonts w:eastAsia="方正仿宋_GBK"/>
          <w:sz w:val="32"/>
          <w:szCs w:val="32"/>
        </w:rPr>
      </w:pPr>
      <w:r>
        <w:rPr>
          <w:rFonts w:eastAsia="方正仿宋_GBK"/>
          <w:sz w:val="32"/>
          <w:szCs w:val="32"/>
        </w:rPr>
        <w:t>探索体制机制创新。全面推进“多规合一”，以省级以上开发区为主体，对小而散的各类乡镇工业园进行整合。支持有条件的开发区在境外建设产业集聚区。理顺开发区管理职能，按照</w:t>
      </w:r>
      <w:r>
        <w:rPr>
          <w:rFonts w:hint="eastAsia" w:eastAsia="方正仿宋_GBK"/>
          <w:sz w:val="32"/>
          <w:szCs w:val="32"/>
        </w:rPr>
        <w:t>“精简、统一、高效”原则，推动开发区实行大部制、扁平化管理，推进“管委会+投资公司”运营模式，推广“园区+社区”“房东+股东”方式集聚孵化新兴产业、高科技企业。</w:t>
      </w:r>
      <w:r>
        <w:rPr>
          <w:rFonts w:eastAsia="方正仿宋_GBK"/>
          <w:sz w:val="32"/>
          <w:szCs w:val="32"/>
        </w:rPr>
        <w:t>完善规划环评、能评、文物保护评估等一揽子区域评估机制。</w:t>
      </w:r>
    </w:p>
    <w:p>
      <w:pPr>
        <w:spacing w:line="570" w:lineRule="exact"/>
        <w:ind w:firstLine="640" w:firstLineChars="200"/>
        <w:rPr>
          <w:rFonts w:eastAsia="方正仿宋_GBK"/>
          <w:sz w:val="32"/>
          <w:szCs w:val="32"/>
        </w:rPr>
      </w:pPr>
      <w:r>
        <w:rPr>
          <w:rFonts w:eastAsia="方正仿宋_GBK"/>
          <w:sz w:val="32"/>
          <w:szCs w:val="32"/>
        </w:rPr>
        <w:t>推动产业转型升级。推动先进制造业向省级以上开发区集聚，明确开发区优先发展和重点培育产业，大力引进产业链龙头项目及资源节约型、科技创新型、生态环保型项目，加快建设工程（技术）研究中心、工程实验室等新型研发机构，推动技术和人才集聚，提高产业链组织能力，培育壮大特色产业集群。提高产业空间资源利用效率，健全工业企业资源集约利用综合评价机制并推进结果应用，完善低效园区企业腾退倒逼机制。研究划定产业区块控制线，探索设置新型产业用地，积极发展高标准厂房、立体工厂和楼宇经济。到2025年，新增1-2家国家级开发区，新增2-3家省级开发区，开发区在全省排位总体稳中有升，全市开发区实际到帐外资、规上工业主营业务收入、公共财政预算收入占全市比重分别超过90%、75%和60%。</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560" w:lineRule="exact"/>
              <w:jc w:val="center"/>
              <w:rPr>
                <w:rFonts w:eastAsia="方正仿宋_GBK"/>
                <w:sz w:val="28"/>
                <w:szCs w:val="28"/>
              </w:rPr>
            </w:pPr>
            <w:r>
              <w:rPr>
                <w:rFonts w:eastAsia="方正仿宋_GBK"/>
                <w:sz w:val="28"/>
                <w:szCs w:val="28"/>
              </w:rPr>
              <w:t>专栏4-4</w:t>
            </w:r>
            <w:r>
              <w:rPr>
                <w:rFonts w:hint="eastAsia" w:eastAsia="方正仿宋_GBK"/>
                <w:sz w:val="28"/>
                <w:szCs w:val="28"/>
              </w:rPr>
              <w:t xml:space="preserve">  </w:t>
            </w:r>
            <w:r>
              <w:rPr>
                <w:rFonts w:eastAsia="方正仿宋_GBK"/>
                <w:sz w:val="28"/>
                <w:szCs w:val="28"/>
              </w:rPr>
              <w:t>各开发区优先发展和重点培育产业方向</w:t>
            </w:r>
          </w:p>
          <w:p>
            <w:pPr>
              <w:spacing w:line="440" w:lineRule="exact"/>
              <w:ind w:firstLine="560" w:firstLineChars="200"/>
              <w:rPr>
                <w:rFonts w:eastAsia="方正仿宋_GBK"/>
                <w:bCs/>
                <w:sz w:val="28"/>
                <w:szCs w:val="28"/>
              </w:rPr>
            </w:pPr>
            <w:r>
              <w:rPr>
                <w:rFonts w:eastAsia="方正仿宋_GBK"/>
                <w:bCs/>
                <w:sz w:val="28"/>
                <w:szCs w:val="28"/>
              </w:rPr>
              <w:t>常州高新区：碳纤维及复合材料，光伏智慧能源，新能源汽车及汽车核心零部件，新医药及医疗器械，以半导体和集成电路、人工智能、智慧数据为代表的新一代信息技术；</w:t>
            </w:r>
          </w:p>
          <w:p>
            <w:pPr>
              <w:spacing w:line="440" w:lineRule="exact"/>
              <w:ind w:firstLine="560" w:firstLineChars="200"/>
              <w:rPr>
                <w:rFonts w:eastAsia="方正仿宋_GBK"/>
                <w:bCs/>
                <w:sz w:val="28"/>
                <w:szCs w:val="28"/>
              </w:rPr>
            </w:pPr>
            <w:r>
              <w:rPr>
                <w:rFonts w:eastAsia="方正仿宋_GBK"/>
                <w:bCs/>
                <w:sz w:val="28"/>
                <w:szCs w:val="28"/>
              </w:rPr>
              <w:t>武进高新区：以新型交通、机器人为代表的高端装备，智电汽车，节能环保，以电子信息、集成电路为特色的新一代信息技术；</w:t>
            </w:r>
          </w:p>
          <w:p>
            <w:pPr>
              <w:spacing w:line="440" w:lineRule="exact"/>
              <w:ind w:firstLine="560" w:firstLineChars="200"/>
              <w:rPr>
                <w:rFonts w:eastAsia="方正仿宋_GBK"/>
                <w:bCs/>
                <w:sz w:val="28"/>
                <w:szCs w:val="28"/>
              </w:rPr>
            </w:pPr>
            <w:r>
              <w:rPr>
                <w:rFonts w:eastAsia="方正仿宋_GBK"/>
                <w:bCs/>
                <w:sz w:val="28"/>
                <w:szCs w:val="28"/>
              </w:rPr>
              <w:t>常州经开区：先进轨道交通装备，新材料，绿色家居；</w:t>
            </w:r>
          </w:p>
          <w:p>
            <w:pPr>
              <w:spacing w:line="440" w:lineRule="exact"/>
              <w:ind w:firstLine="560" w:firstLineChars="200"/>
              <w:rPr>
                <w:rFonts w:eastAsia="方正仿宋_GBK"/>
                <w:bCs/>
                <w:sz w:val="28"/>
                <w:szCs w:val="28"/>
              </w:rPr>
            </w:pPr>
            <w:r>
              <w:rPr>
                <w:rFonts w:eastAsia="方正仿宋_GBK"/>
                <w:bCs/>
                <w:sz w:val="28"/>
                <w:szCs w:val="28"/>
              </w:rPr>
              <w:t>金坛经开区：新能源汽车及核心零部件，特色光伏，智能装备，新一代信息技术；</w:t>
            </w:r>
          </w:p>
          <w:p>
            <w:pPr>
              <w:spacing w:line="440" w:lineRule="exact"/>
              <w:ind w:firstLine="560" w:firstLineChars="200"/>
              <w:rPr>
                <w:rFonts w:eastAsia="方正仿宋_GBK"/>
                <w:bCs/>
                <w:sz w:val="28"/>
                <w:szCs w:val="28"/>
              </w:rPr>
            </w:pPr>
            <w:r>
              <w:rPr>
                <w:rFonts w:eastAsia="方正仿宋_GBK"/>
                <w:bCs/>
                <w:sz w:val="28"/>
                <w:szCs w:val="28"/>
              </w:rPr>
              <w:t>江苏中关村科技产业园：智能电网，高端装备制造，动力电池；</w:t>
            </w:r>
          </w:p>
          <w:p>
            <w:pPr>
              <w:spacing w:line="440" w:lineRule="exact"/>
              <w:ind w:firstLine="560" w:firstLineChars="200"/>
              <w:rPr>
                <w:rFonts w:eastAsia="方正仿宋_GBK"/>
                <w:bCs/>
                <w:sz w:val="28"/>
                <w:szCs w:val="28"/>
              </w:rPr>
            </w:pPr>
            <w:r>
              <w:rPr>
                <w:rFonts w:eastAsia="方正仿宋_GBK"/>
                <w:bCs/>
                <w:sz w:val="28"/>
                <w:szCs w:val="28"/>
              </w:rPr>
              <w:t>溧阳经开区：智能安防，生命健康（食品）；</w:t>
            </w:r>
          </w:p>
          <w:p>
            <w:pPr>
              <w:spacing w:line="440" w:lineRule="exact"/>
              <w:ind w:firstLine="560" w:firstLineChars="200"/>
              <w:rPr>
                <w:rFonts w:eastAsia="方正仿宋_GBK"/>
                <w:bCs/>
                <w:sz w:val="28"/>
                <w:szCs w:val="28"/>
              </w:rPr>
            </w:pPr>
            <w:r>
              <w:rPr>
                <w:rFonts w:eastAsia="方正仿宋_GBK"/>
                <w:bCs/>
                <w:sz w:val="28"/>
                <w:szCs w:val="28"/>
              </w:rPr>
              <w:t>滨江经开区：高性能化工新材料及碳纤维，高端精密制造；</w:t>
            </w:r>
          </w:p>
          <w:p>
            <w:pPr>
              <w:spacing w:line="440" w:lineRule="exact"/>
              <w:ind w:firstLine="560" w:firstLineChars="200"/>
              <w:rPr>
                <w:rFonts w:eastAsia="方正仿宋_GBK"/>
                <w:bCs/>
                <w:sz w:val="28"/>
                <w:szCs w:val="28"/>
              </w:rPr>
            </w:pPr>
            <w:r>
              <w:rPr>
                <w:rFonts w:eastAsia="方正仿宋_GBK"/>
                <w:bCs/>
                <w:sz w:val="28"/>
                <w:szCs w:val="28"/>
              </w:rPr>
              <w:t>西太湖科技产业区：健康医疗，先进碳材料；</w:t>
            </w:r>
          </w:p>
          <w:p>
            <w:pPr>
              <w:spacing w:line="440" w:lineRule="exact"/>
              <w:ind w:firstLine="560" w:firstLineChars="200"/>
              <w:rPr>
                <w:rFonts w:eastAsia="方正仿宋_GBK"/>
                <w:bCs/>
                <w:sz w:val="28"/>
                <w:szCs w:val="28"/>
              </w:rPr>
            </w:pPr>
            <w:r>
              <w:rPr>
                <w:rFonts w:eastAsia="方正仿宋_GBK"/>
                <w:bCs/>
                <w:sz w:val="28"/>
                <w:szCs w:val="28"/>
              </w:rPr>
              <w:t>天宁经开区：新一代信息技术，新医药及生物技术；</w:t>
            </w:r>
          </w:p>
          <w:p>
            <w:pPr>
              <w:spacing w:line="440" w:lineRule="exact"/>
              <w:ind w:firstLine="560" w:firstLineChars="200"/>
              <w:rPr>
                <w:rFonts w:eastAsia="方正仿宋_GBK"/>
                <w:bCs/>
                <w:sz w:val="28"/>
                <w:szCs w:val="28"/>
              </w:rPr>
            </w:pPr>
            <w:r>
              <w:rPr>
                <w:rFonts w:eastAsia="方正仿宋_GBK"/>
                <w:bCs/>
                <w:sz w:val="28"/>
                <w:szCs w:val="28"/>
              </w:rPr>
              <w:t>天宁高新区：新材料，高端装备制造；</w:t>
            </w:r>
          </w:p>
          <w:p>
            <w:pPr>
              <w:spacing w:line="440" w:lineRule="exact"/>
              <w:ind w:firstLine="560" w:firstLineChars="200"/>
              <w:rPr>
                <w:rFonts w:eastAsia="方正仿宋_GBK"/>
                <w:bCs/>
                <w:sz w:val="28"/>
                <w:szCs w:val="28"/>
              </w:rPr>
            </w:pPr>
            <w:r>
              <w:rPr>
                <w:rFonts w:eastAsia="方正仿宋_GBK"/>
                <w:bCs/>
                <w:sz w:val="28"/>
                <w:szCs w:val="28"/>
              </w:rPr>
              <w:t>钟楼经开区：大数据，高端智能制造及服务；</w:t>
            </w:r>
          </w:p>
          <w:p>
            <w:pPr>
              <w:spacing w:line="440" w:lineRule="exact"/>
              <w:ind w:firstLine="560" w:firstLineChars="200"/>
              <w:rPr>
                <w:rFonts w:eastAsia="方正仿宋_GBK"/>
                <w:bCs/>
                <w:sz w:val="28"/>
                <w:szCs w:val="28"/>
              </w:rPr>
            </w:pPr>
            <w:r>
              <w:rPr>
                <w:rFonts w:eastAsia="方正仿宋_GBK"/>
                <w:bCs/>
                <w:sz w:val="28"/>
                <w:szCs w:val="28"/>
              </w:rPr>
              <w:t>钟楼高新区：智能终端，新材料。</w:t>
            </w:r>
          </w:p>
        </w:tc>
      </w:tr>
    </w:tbl>
    <w:p>
      <w:pPr>
        <w:spacing w:before="240" w:after="240" w:line="570" w:lineRule="exact"/>
        <w:jc w:val="center"/>
        <w:rPr>
          <w:rFonts w:hint="eastAsia" w:ascii="方正黑体_GBK" w:eastAsia="方正黑体_GBK"/>
          <w:sz w:val="32"/>
          <w:szCs w:val="32"/>
        </w:rPr>
      </w:pPr>
      <w:bookmarkStart w:id="40" w:name="_Toc55403944"/>
      <w:bookmarkStart w:id="41" w:name="_Toc58576640"/>
      <w:bookmarkStart w:id="42" w:name="_Hlk53684760"/>
      <w:r>
        <w:rPr>
          <w:rFonts w:hint="eastAsia" w:ascii="方正黑体_GBK" w:eastAsia="方正黑体_GBK"/>
          <w:sz w:val="32"/>
          <w:szCs w:val="32"/>
        </w:rPr>
        <w:t>第五章  打造科教创新明星城</w:t>
      </w:r>
      <w:bookmarkEnd w:id="40"/>
      <w:bookmarkEnd w:id="41"/>
    </w:p>
    <w:bookmarkEnd w:id="42"/>
    <w:p>
      <w:pPr>
        <w:spacing w:line="570" w:lineRule="exact"/>
        <w:ind w:firstLine="640" w:firstLineChars="200"/>
        <w:rPr>
          <w:rFonts w:eastAsia="方正仿宋_GBK"/>
          <w:sz w:val="32"/>
          <w:szCs w:val="32"/>
        </w:rPr>
      </w:pPr>
      <w:r>
        <w:rPr>
          <w:rFonts w:eastAsia="方正仿宋_GBK"/>
          <w:sz w:val="32"/>
          <w:szCs w:val="32"/>
        </w:rPr>
        <w:t>深入实施创新驱动发展战略，健全鼓励支持科技创新的体制机制，打造“一核多区”“一带多园”的高质量创新一体化布局，围绕优势产业链精准布局创新链，营造产业创新发展良好生态，打响“科技新长征”常州创新品牌，不断提升科技实力、创新能力和产业核心竞争力，全力</w:t>
      </w:r>
      <w:r>
        <w:rPr>
          <w:rFonts w:hint="eastAsia" w:eastAsia="方正仿宋_GBK"/>
          <w:sz w:val="32"/>
          <w:szCs w:val="32"/>
        </w:rPr>
        <w:t>建设长三角产业科技创新中心</w:t>
      </w:r>
      <w:r>
        <w:rPr>
          <w:rFonts w:eastAsia="方正仿宋_GBK"/>
          <w:sz w:val="32"/>
          <w:szCs w:val="32"/>
        </w:rPr>
        <w:t>。</w:t>
      </w:r>
    </w:p>
    <w:p>
      <w:pPr>
        <w:spacing w:before="240" w:after="240" w:line="570" w:lineRule="exact"/>
        <w:jc w:val="center"/>
        <w:rPr>
          <w:rFonts w:ascii="方正楷体_GBK" w:eastAsia="方正楷体_GBK"/>
          <w:sz w:val="32"/>
          <w:szCs w:val="32"/>
        </w:rPr>
      </w:pPr>
      <w:bookmarkStart w:id="43" w:name="_Toc58576641"/>
      <w:bookmarkStart w:id="44" w:name="_Toc55403945"/>
      <w:r>
        <w:rPr>
          <w:rFonts w:ascii="方正楷体_GBK" w:eastAsia="方正楷体_GBK"/>
          <w:sz w:val="32"/>
          <w:szCs w:val="32"/>
        </w:rPr>
        <w:t>第一节</w:t>
      </w:r>
      <w:r>
        <w:rPr>
          <w:rFonts w:hint="eastAsia" w:ascii="方正楷体_GBK" w:eastAsia="方正楷体_GBK"/>
          <w:sz w:val="32"/>
          <w:szCs w:val="32"/>
        </w:rPr>
        <w:t xml:space="preserve">  </w:t>
      </w:r>
      <w:r>
        <w:rPr>
          <w:rFonts w:ascii="方正楷体_GBK" w:eastAsia="方正楷体_GBK"/>
          <w:sz w:val="32"/>
          <w:szCs w:val="32"/>
        </w:rPr>
        <w:t>提升产业技术创新能力</w:t>
      </w:r>
      <w:bookmarkEnd w:id="43"/>
      <w:bookmarkEnd w:id="44"/>
    </w:p>
    <w:p>
      <w:pPr>
        <w:spacing w:line="570" w:lineRule="exact"/>
        <w:ind w:firstLine="640" w:firstLineChars="200"/>
        <w:rPr>
          <w:rFonts w:eastAsia="方正仿宋_GBK"/>
          <w:sz w:val="32"/>
          <w:szCs w:val="32"/>
        </w:rPr>
      </w:pPr>
      <w:r>
        <w:rPr>
          <w:rFonts w:eastAsia="方正仿宋_GBK"/>
          <w:sz w:val="32"/>
          <w:szCs w:val="32"/>
        </w:rPr>
        <w:t>培育壮大科技型企业集群。强化企业技术创新主体地位，实施新一轮“十百千”创新型企业培育工程、领军型科技企业培育计划、高新技术企业倍增计划、企业研发机构高质量提升行动，打通“初创企业—科技型中小企业—高新技术企业—瞪羚企业—独角兽企业—上市企业”跃升路径，支持有条件企业组建重大科技创新平台，承担国家、省重大科技项目。到2025年，高新技术企业</w:t>
      </w:r>
      <w:r>
        <w:rPr>
          <w:rFonts w:hint="eastAsia" w:eastAsia="方正仿宋_GBK"/>
          <w:sz w:val="32"/>
          <w:szCs w:val="32"/>
        </w:rPr>
        <w:t>超5</w:t>
      </w:r>
      <w:r>
        <w:rPr>
          <w:rFonts w:eastAsia="方正仿宋_GBK"/>
          <w:sz w:val="32"/>
          <w:szCs w:val="32"/>
        </w:rPr>
        <w:t>000家，领军型科技企业达90家，独角兽（或潜在独角兽）企业达50家。</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560" w:lineRule="exact"/>
              <w:jc w:val="center"/>
              <w:rPr>
                <w:rFonts w:eastAsia="方正仿宋_GBK"/>
                <w:sz w:val="28"/>
                <w:szCs w:val="28"/>
              </w:rPr>
            </w:pPr>
            <w:r>
              <w:rPr>
                <w:rFonts w:eastAsia="方正仿宋_GBK"/>
                <w:sz w:val="28"/>
                <w:szCs w:val="28"/>
              </w:rPr>
              <w:t>专栏5-1</w:t>
            </w:r>
            <w:r>
              <w:rPr>
                <w:rFonts w:hint="eastAsia" w:eastAsia="方正仿宋_GBK"/>
                <w:sz w:val="28"/>
                <w:szCs w:val="28"/>
              </w:rPr>
              <w:t xml:space="preserve">  </w:t>
            </w:r>
            <w:r>
              <w:rPr>
                <w:rFonts w:eastAsia="方正仿宋_GBK"/>
                <w:sz w:val="28"/>
                <w:szCs w:val="28"/>
              </w:rPr>
              <w:t>新一轮“十百千”创新型企业培育工程</w:t>
            </w:r>
          </w:p>
          <w:p>
            <w:pPr>
              <w:spacing w:line="440" w:lineRule="exact"/>
              <w:ind w:firstLine="560" w:firstLineChars="200"/>
              <w:rPr>
                <w:rFonts w:eastAsia="方正仿宋_GBK"/>
                <w:bCs/>
                <w:sz w:val="28"/>
                <w:szCs w:val="28"/>
              </w:rPr>
            </w:pPr>
            <w:r>
              <w:rPr>
                <w:rFonts w:eastAsia="方正仿宋_GBK"/>
                <w:sz w:val="28"/>
                <w:szCs w:val="28"/>
              </w:rPr>
              <w:t>培育领军型创新企业。</w:t>
            </w:r>
            <w:r>
              <w:rPr>
                <w:rFonts w:eastAsia="方正仿宋_GBK"/>
                <w:bCs/>
                <w:sz w:val="28"/>
                <w:szCs w:val="28"/>
              </w:rPr>
              <w:t>打造一批独角兽企业，形成一批年产值百亿级以上科技型头部企业。支持企业建设高水平研究院，承担国家、省级重大科技项目，鼓励企业主导制定国际国内先进技术标准，打造一批具有国际核心竞争力的领军型创新企业；</w:t>
            </w:r>
          </w:p>
          <w:p>
            <w:pPr>
              <w:spacing w:line="440" w:lineRule="exact"/>
              <w:ind w:firstLine="560" w:firstLineChars="200"/>
              <w:rPr>
                <w:rFonts w:eastAsia="方正仿宋_GBK"/>
                <w:bCs/>
                <w:sz w:val="28"/>
                <w:szCs w:val="28"/>
              </w:rPr>
            </w:pPr>
            <w:r>
              <w:rPr>
                <w:rFonts w:eastAsia="方正仿宋_GBK"/>
                <w:sz w:val="28"/>
                <w:szCs w:val="28"/>
              </w:rPr>
              <w:t>推进科技型企业上市。</w:t>
            </w:r>
            <w:r>
              <w:rPr>
                <w:rFonts w:eastAsia="方正仿宋_GBK"/>
                <w:bCs/>
                <w:sz w:val="28"/>
                <w:szCs w:val="28"/>
              </w:rPr>
              <w:t>优先支持科技型上市后备企业承担各级科技计划项目，建设重点实验室，掌握一批拥有自主知识产权的核心技术，开发一批高附加值的新产品。加快推进科技型企业上市，动态调整科技型企业上市培育库，为入库企业提供金融、技术、项目等方面的精准服务；</w:t>
            </w:r>
          </w:p>
          <w:p>
            <w:pPr>
              <w:spacing w:line="440" w:lineRule="exact"/>
              <w:ind w:firstLine="560" w:firstLineChars="200"/>
              <w:rPr>
                <w:rFonts w:eastAsia="方正仿宋_GBK"/>
                <w:bCs/>
                <w:sz w:val="28"/>
                <w:szCs w:val="28"/>
              </w:rPr>
            </w:pPr>
            <w:r>
              <w:rPr>
                <w:rFonts w:eastAsia="方正仿宋_GBK"/>
                <w:sz w:val="28"/>
                <w:szCs w:val="28"/>
              </w:rPr>
              <w:t>实施高新技术企业倍增计划。</w:t>
            </w:r>
            <w:r>
              <w:rPr>
                <w:rFonts w:eastAsia="方正仿宋_GBK"/>
                <w:bCs/>
                <w:sz w:val="28"/>
                <w:szCs w:val="28"/>
              </w:rPr>
              <w:t>积极落实省、市高新技术企业相关扶持政策，激励企业加大研发投入，引导企业加强和高校院所、科技中介机构合作，提高企业综合创新能力，大幅提高高新技术企业数量。</w:t>
            </w:r>
          </w:p>
        </w:tc>
      </w:tr>
    </w:tbl>
    <w:p>
      <w:pPr>
        <w:spacing w:line="570" w:lineRule="exact"/>
        <w:ind w:firstLine="640" w:firstLineChars="200"/>
        <w:rPr>
          <w:rFonts w:eastAsia="方正仿宋_GBK"/>
          <w:sz w:val="32"/>
          <w:szCs w:val="32"/>
        </w:rPr>
      </w:pPr>
      <w:r>
        <w:rPr>
          <w:rFonts w:eastAsia="方正仿宋_GBK"/>
          <w:sz w:val="32"/>
          <w:szCs w:val="32"/>
        </w:rPr>
        <w:t>推进关键核心技术攻关。完善以企业为主体、市场为导向、产学研深度融合的产业技术创新体系。聚焦集成电路、机器人、工业和能源互联网、碳复合材料等领域，滚动编制关键核心技术攻关清单，综合运用定向委托、招标、揭榜、挂帅、联合攻关等模式，组织实施一批产业关键核心技术攻关项目，形成一批国产化替代的原创成果。深入实施高等院校基础研究能力提升工程，支持常州大学等建设世界一流学科，聚焦前沿创新领域参与国际大科学计划（工程）、申报国家科技重大专项及重点研发计划项目等，在前瞻性基础研究、颠覆性原创技术等方面实现重大突破。</w:t>
      </w:r>
    </w:p>
    <w:p>
      <w:pPr>
        <w:spacing w:line="570" w:lineRule="exact"/>
        <w:ind w:firstLine="640" w:firstLineChars="200"/>
        <w:rPr>
          <w:rFonts w:eastAsia="方正仿宋_GBK"/>
          <w:sz w:val="32"/>
          <w:szCs w:val="32"/>
        </w:rPr>
      </w:pPr>
      <w:r>
        <w:rPr>
          <w:rFonts w:eastAsia="方正仿宋_GBK"/>
          <w:sz w:val="32"/>
          <w:szCs w:val="32"/>
        </w:rPr>
        <w:t>深化科技创新开放合作。完善国际科技合作机制，拓展与创新大国和关键小国的研发合作，提升江苏省中以产业技术研究院、以色列江苏创新中心、中德产业技术创新与合作中心、中瑞（常州）国际产业创新园等平台建设水平，吸引海外知名高校院所、跨国公司来常设立研发机构，强化全球创新资源集聚配置能力。完善与中科院等大学大院大所的产学研协同创新网络，推动企业和高校院所组建联合研究中心（实验室）。鼓励有条件企业建立“创新飞地”、海外研发基地，开展离岸研发合作。</w:t>
      </w:r>
    </w:p>
    <w:p>
      <w:pPr>
        <w:spacing w:line="570" w:lineRule="exact"/>
        <w:ind w:firstLine="640" w:firstLineChars="200"/>
        <w:rPr>
          <w:rFonts w:eastAsia="方正仿宋_GBK"/>
          <w:sz w:val="32"/>
          <w:szCs w:val="32"/>
        </w:rPr>
      </w:pPr>
      <w:r>
        <w:rPr>
          <w:rFonts w:eastAsia="方正仿宋_GBK"/>
          <w:sz w:val="32"/>
          <w:szCs w:val="32"/>
        </w:rPr>
        <w:t>加快创新成果转化应用。积极承接国家、省重大科技项目成果在常落地转化，组织实施一批重大科技成果转化项目，支持企业与高校院所共建科技成果产业化基地、产业技术转移转化中心，在常高校院所技术转移机构实现全覆盖。完善促进科技成果转化市场运行机制，实施技术转移服务机构培育计划，依托常州科教城加快建设中国技术交易所成果转化与技术交易平台、全国高等学校科技成果转化和技术转移基地。优化拓展江苏省技术产权交易市场常州分中心服务功能，鼓励发展科技中介、技术经纪人等机构或组织，发展壮大科技成果转化第三方市场，畅通科技成果转移转化链，建立健全线上线下一体化的技术交易服务体系。到2025年，全市技术合同成交额达280亿元左右。</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440" w:lineRule="exact"/>
              <w:jc w:val="center"/>
              <w:rPr>
                <w:rFonts w:eastAsia="方正仿宋_GBK"/>
                <w:sz w:val="28"/>
                <w:szCs w:val="28"/>
              </w:rPr>
            </w:pPr>
            <w:r>
              <w:rPr>
                <w:rFonts w:eastAsia="方正仿宋_GBK"/>
                <w:sz w:val="28"/>
                <w:szCs w:val="28"/>
              </w:rPr>
              <w:t>专栏5-2</w:t>
            </w:r>
            <w:r>
              <w:rPr>
                <w:rFonts w:hint="eastAsia" w:eastAsia="方正仿宋_GBK"/>
                <w:sz w:val="28"/>
                <w:szCs w:val="28"/>
              </w:rPr>
              <w:t xml:space="preserve">  </w:t>
            </w:r>
            <w:r>
              <w:rPr>
                <w:rFonts w:eastAsia="方正仿宋_GBK"/>
                <w:sz w:val="28"/>
                <w:szCs w:val="28"/>
              </w:rPr>
              <w:t>产业技术创新重点引导方向</w:t>
            </w:r>
          </w:p>
          <w:p>
            <w:pPr>
              <w:spacing w:line="440" w:lineRule="exact"/>
              <w:ind w:firstLine="560" w:firstLineChars="200"/>
              <w:rPr>
                <w:rFonts w:eastAsia="方正仿宋_GBK"/>
                <w:sz w:val="28"/>
                <w:szCs w:val="28"/>
              </w:rPr>
            </w:pPr>
            <w:r>
              <w:rPr>
                <w:rFonts w:eastAsia="方正仿宋_GBK"/>
                <w:sz w:val="28"/>
                <w:szCs w:val="28"/>
              </w:rPr>
              <w:t>先导产业：集成电路、人工智能、生物医药、5G通信</w:t>
            </w:r>
            <w:r>
              <w:rPr>
                <w:rFonts w:hint="eastAsia" w:eastAsia="方正仿宋_GBK"/>
                <w:sz w:val="28"/>
                <w:szCs w:val="28"/>
              </w:rPr>
              <w:t>；</w:t>
            </w:r>
          </w:p>
          <w:p>
            <w:pPr>
              <w:spacing w:line="440" w:lineRule="exact"/>
              <w:ind w:firstLine="560" w:firstLineChars="200"/>
              <w:rPr>
                <w:rFonts w:eastAsia="方正仿宋_GBK"/>
                <w:sz w:val="28"/>
                <w:szCs w:val="28"/>
              </w:rPr>
            </w:pPr>
            <w:r>
              <w:rPr>
                <w:rFonts w:eastAsia="方正仿宋_GBK"/>
                <w:sz w:val="28"/>
                <w:szCs w:val="28"/>
              </w:rPr>
              <w:t>主导产业：智能制造、新材料、生命健康、智慧能源</w:t>
            </w:r>
            <w:r>
              <w:rPr>
                <w:rFonts w:hint="eastAsia" w:eastAsia="方正仿宋_GBK"/>
                <w:sz w:val="28"/>
                <w:szCs w:val="28"/>
              </w:rPr>
              <w:t>；</w:t>
            </w:r>
          </w:p>
          <w:p>
            <w:pPr>
              <w:spacing w:line="440" w:lineRule="exact"/>
              <w:ind w:firstLine="560" w:firstLineChars="200"/>
              <w:rPr>
                <w:rFonts w:eastAsia="方正仿宋_GBK"/>
                <w:sz w:val="28"/>
                <w:szCs w:val="28"/>
              </w:rPr>
            </w:pPr>
            <w:r>
              <w:rPr>
                <w:rFonts w:eastAsia="方正仿宋_GBK"/>
                <w:sz w:val="28"/>
                <w:szCs w:val="28"/>
              </w:rPr>
              <w:t>未来产业：生物育种、脑科学、空天科技、量子科技。</w:t>
            </w:r>
          </w:p>
        </w:tc>
      </w:tr>
    </w:tbl>
    <w:p>
      <w:pPr>
        <w:spacing w:before="240" w:after="240" w:line="570" w:lineRule="exact"/>
        <w:jc w:val="center"/>
        <w:rPr>
          <w:rFonts w:ascii="方正楷体_GBK" w:eastAsia="方正楷体_GBK"/>
          <w:sz w:val="32"/>
          <w:szCs w:val="32"/>
        </w:rPr>
      </w:pPr>
      <w:bookmarkStart w:id="45" w:name="_Toc55403946"/>
      <w:bookmarkStart w:id="46" w:name="_Toc58576642"/>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做优做强创新载体平台</w:t>
      </w:r>
      <w:bookmarkEnd w:id="45"/>
      <w:bookmarkEnd w:id="46"/>
    </w:p>
    <w:p>
      <w:pPr>
        <w:spacing w:line="570" w:lineRule="exact"/>
        <w:ind w:firstLine="640" w:firstLineChars="200"/>
        <w:rPr>
          <w:rFonts w:eastAsia="方正仿宋_GBK"/>
          <w:sz w:val="32"/>
          <w:szCs w:val="32"/>
        </w:rPr>
      </w:pPr>
      <w:r>
        <w:rPr>
          <w:rFonts w:eastAsia="方正仿宋_GBK"/>
          <w:sz w:val="32"/>
          <w:szCs w:val="32"/>
        </w:rPr>
        <w:t>做强常州科教城“创新之核”。加快常州科教城新一轮发展，推进省智能装备产业技术创新中心等重大平台载体建设，持续强化研发创新、企业孵育、科技服务功能。建立健全常州科教城与各辖市（区）和省级以上开发区的协作机制，推动常州科教城创新创业要素向全市辐射溢出。推进科教新城建设，打造长三角知名的“科创走廊”。支持常州科教城加快建设国家级科技服务业集聚区，打造国际合作先行区、创新创业引领区、科技服务核心区、未来产业集聚区、产教融合示范区。</w:t>
      </w:r>
    </w:p>
    <w:p>
      <w:pPr>
        <w:spacing w:line="570" w:lineRule="exact"/>
        <w:ind w:firstLine="640" w:firstLineChars="200"/>
        <w:rPr>
          <w:rFonts w:eastAsia="方正仿宋_GBK"/>
          <w:sz w:val="32"/>
          <w:szCs w:val="32"/>
        </w:rPr>
      </w:pPr>
      <w:r>
        <w:rPr>
          <w:rFonts w:eastAsia="方正仿宋_GBK"/>
          <w:sz w:val="32"/>
          <w:szCs w:val="32"/>
        </w:rPr>
        <w:t>促进高新园区高质量发展。深入推进苏南国家自主创新示范区建设，大力提升常州高新区国家创新型园区、武进高新区国家创新核心区引领效能，分别进入全国</w:t>
      </w:r>
      <w:r>
        <w:rPr>
          <w:rFonts w:hint="eastAsia" w:eastAsia="方正仿宋_GBK"/>
          <w:sz w:val="32"/>
          <w:szCs w:val="32"/>
        </w:rPr>
        <w:t>20强、30强；</w:t>
      </w:r>
      <w:r>
        <w:rPr>
          <w:rFonts w:eastAsia="方正仿宋_GBK"/>
          <w:sz w:val="32"/>
          <w:szCs w:val="32"/>
        </w:rPr>
        <w:t>推进江苏中关村科技产业园、西太湖科技产业园等特色园区建设，培育壮大具有国际竞争力的创新型企业和产业集群，打造高水平“创新矩阵”。支持江苏中关村科技产业园打造全球有影响力的储能产业科创中心，积极争创国家级高新技术产业开发区。推进金坛、天宁、钟楼建设省级高新区，实现省级以上高新区</w:t>
      </w:r>
      <w:r>
        <w:rPr>
          <w:rFonts w:hint="eastAsia" w:eastAsia="方正仿宋_GBK"/>
          <w:sz w:val="32"/>
          <w:szCs w:val="32"/>
        </w:rPr>
        <w:t>辖市（区）全覆盖</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加快科技创新基础设施建设。加快融入国家战略科技布局，推进建设“龙城实验室”，积极争取国家重大科技基础设施在常建设布局，支持在常高校院所与企业合作共建国家重点实验室等科研平台。积极打造高能级产业技术创新平台，加快建设国家空间信息综合应用创新服务平台、西太湖细胞治疗前沿技术研究院、江苏省产业技术研究院常州专业研究所和联合创新中心等，推进节能与新能源汽车动力总成、装备关键零部件创新中心试点，在石墨烯、碳纤维及复合材料、新能源汽车能源与信息创新等领域争创国家级制造业创新中心，在空间信息、智慧能源等领域争创国家科创产业基地。实施新型研发机构增量提质计划，支持高校院所、企业、园区等合作共建一批“专业+研发+孵化”功能叠加、“技术+管理+资本”一体运作的新型研发机构。支持有实力的企业建立独立法人的企业研究院。到2025年，新增省级以上重大创新平台50家。</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440" w:lineRule="exact"/>
              <w:jc w:val="center"/>
              <w:rPr>
                <w:rFonts w:eastAsia="方正仿宋_GBK"/>
                <w:sz w:val="28"/>
                <w:szCs w:val="28"/>
              </w:rPr>
            </w:pPr>
            <w:r>
              <w:rPr>
                <w:rFonts w:eastAsia="方正仿宋_GBK"/>
                <w:sz w:val="28"/>
                <w:szCs w:val="28"/>
              </w:rPr>
              <w:t>专栏5-3</w:t>
            </w:r>
            <w:r>
              <w:rPr>
                <w:rFonts w:hint="eastAsia" w:eastAsia="方正仿宋_GBK"/>
                <w:sz w:val="28"/>
                <w:szCs w:val="28"/>
              </w:rPr>
              <w:t xml:space="preserve">  </w:t>
            </w:r>
            <w:r>
              <w:rPr>
                <w:rFonts w:eastAsia="方正仿宋_GBK"/>
                <w:sz w:val="28"/>
                <w:szCs w:val="28"/>
              </w:rPr>
              <w:t>重大科技创新平台</w:t>
            </w:r>
          </w:p>
          <w:p>
            <w:pPr>
              <w:tabs>
                <w:tab w:val="center" w:pos="4153"/>
                <w:tab w:val="right" w:pos="8306"/>
              </w:tabs>
              <w:spacing w:line="440" w:lineRule="exact"/>
              <w:ind w:firstLine="560" w:firstLineChars="200"/>
              <w:rPr>
                <w:rFonts w:eastAsia="方正仿宋_GBK"/>
                <w:bCs/>
                <w:sz w:val="28"/>
                <w:szCs w:val="28"/>
              </w:rPr>
            </w:pPr>
            <w:r>
              <w:rPr>
                <w:rFonts w:eastAsia="方正仿宋_GBK"/>
                <w:bCs/>
                <w:sz w:val="28"/>
                <w:szCs w:val="28"/>
              </w:rPr>
              <w:t>国家级：国家空间信息综合应用创新服务平台、国家新能源汽车智慧能源装备创新中心、新能源物联网国家创新中心、国家轨道交通齿轮传动系统企业重点实验室、国家商用车智能驾驶研发认证中心、国家石墨烯制造业创新中心；</w:t>
            </w:r>
          </w:p>
          <w:p>
            <w:pPr>
              <w:tabs>
                <w:tab w:val="center" w:pos="4153"/>
                <w:tab w:val="right" w:pos="8306"/>
              </w:tabs>
              <w:spacing w:line="440" w:lineRule="exact"/>
              <w:ind w:firstLine="560" w:firstLineChars="200"/>
              <w:rPr>
                <w:rFonts w:eastAsia="方正仿宋_GBK"/>
              </w:rPr>
            </w:pPr>
            <w:r>
              <w:rPr>
                <w:rFonts w:eastAsia="方正仿宋_GBK"/>
                <w:bCs/>
                <w:sz w:val="28"/>
                <w:szCs w:val="28"/>
              </w:rPr>
              <w:t>省级：江苏省动力及储能产业重点实验室、江苏省盐穴资源化高效储能技术重点实验室、江苏省柔性输变电装备技术应用实验室、江苏省新药研发和生产一体化平台、江苏省5G通讯创新生态实验室、中科院物理所长三角研究中心、面向智能制造的AI算法和芯片设计及验证系统集成应用平台、江苏省中以产业技术研究院、江苏集萃碳纤维及复合材料应用技术研究院、江苏省汽车半导体智能照明产业技术创新中心、江苏省再生医学与干细胞技术创新中心、西太湖国际健康城、东方碳谷、龙城金谷、常州固立高端装备创新中心、长三角化合物半导体产业创新基地、长三角建筑科技创新中心、西太湖细胞治疗前沿技术研究院、工业互联网研究院分院、常州集成电路产业创新研发中心、华罗庚产业科技创新中心等。</w:t>
            </w:r>
          </w:p>
        </w:tc>
      </w:tr>
    </w:tbl>
    <w:p>
      <w:pPr>
        <w:spacing w:after="156" w:afterLines="50" w:line="570" w:lineRule="exact"/>
        <w:ind w:firstLine="640" w:firstLineChars="200"/>
        <w:rPr>
          <w:rFonts w:eastAsia="方正仿宋_GBK"/>
          <w:sz w:val="32"/>
          <w:szCs w:val="32"/>
        </w:rPr>
      </w:pPr>
      <w:r>
        <w:rPr>
          <w:rFonts w:eastAsia="方正仿宋_GBK"/>
          <w:sz w:val="32"/>
          <w:szCs w:val="32"/>
        </w:rPr>
        <w:t>推进高品质“双创”载体建设。科学合理布局创新创业载体，优化创新创业环境，吸引领军型创业人才来常创业，提升载体服务水平，打造经济发展新引擎。高水平建设长三角青年创新创业港，深入推进武进国家双创示范基地建设，支持常州高新区、钟楼区创建国家级双创示范基地，鼓励建设一批特色鲜明、活力强劲的众创社区（乡村）、创新街区。到2025年，新增省级以上众创空间科技企业孵化器、企业加速器70家。</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4" w:hRule="atLeast"/>
          <w:jc w:val="center"/>
        </w:trPr>
        <w:tc>
          <w:tcPr>
            <w:tcW w:w="8646" w:type="dxa"/>
            <w:noWrap w:val="0"/>
            <w:vAlign w:val="top"/>
          </w:tcPr>
          <w:p>
            <w:pPr>
              <w:spacing w:line="560" w:lineRule="exact"/>
              <w:jc w:val="center"/>
              <w:rPr>
                <w:rFonts w:eastAsia="方正仿宋_GBK"/>
                <w:sz w:val="28"/>
                <w:szCs w:val="28"/>
              </w:rPr>
            </w:pPr>
            <w:r>
              <w:rPr>
                <w:rFonts w:eastAsia="方正仿宋_GBK"/>
                <w:sz w:val="28"/>
                <w:szCs w:val="28"/>
              </w:rPr>
              <w:t>专栏5-4</w:t>
            </w:r>
            <w:r>
              <w:rPr>
                <w:rFonts w:hint="eastAsia" w:eastAsia="方正仿宋_GBK"/>
                <w:sz w:val="28"/>
                <w:szCs w:val="28"/>
              </w:rPr>
              <w:t xml:space="preserve">  </w:t>
            </w:r>
            <w:r>
              <w:rPr>
                <w:rFonts w:eastAsia="方正仿宋_GBK"/>
                <w:sz w:val="28"/>
                <w:szCs w:val="28"/>
              </w:rPr>
              <w:t>重点众创空间、科技企业孵化器（加速器）</w:t>
            </w:r>
          </w:p>
          <w:p>
            <w:pPr>
              <w:spacing w:line="440" w:lineRule="exact"/>
              <w:ind w:firstLine="560" w:firstLineChars="200"/>
              <w:rPr>
                <w:rFonts w:eastAsia="方正仿宋_GBK"/>
                <w:sz w:val="28"/>
                <w:szCs w:val="28"/>
              </w:rPr>
            </w:pPr>
            <w:r>
              <w:rPr>
                <w:rFonts w:eastAsia="方正仿宋_GBK"/>
                <w:bCs/>
                <w:sz w:val="28"/>
                <w:szCs w:val="28"/>
              </w:rPr>
              <w:t>长三角青年创新创业港、新一代移动通信孵化中心、苏高新南大创新园孵化器、江苏省石墨烯创新中心、常州大数据产业园、常州人工智能科创港、常州通信技术产业园、横山桥科创中心、天宁双创中心、天宁直播产业园、江苏中关村孵化器研发中心、溧阳经开区北湖科创园、华科园通信产业孵化中心、蓝·科技文化创意产业园、中科创新港、常州碳纤维及复合材料科创港、大运河数字港。</w:t>
            </w:r>
          </w:p>
        </w:tc>
      </w:tr>
    </w:tbl>
    <w:p>
      <w:pPr>
        <w:spacing w:before="240" w:after="240" w:line="570" w:lineRule="exact"/>
        <w:jc w:val="center"/>
        <w:rPr>
          <w:rFonts w:ascii="方正楷体_GBK" w:eastAsia="方正楷体_GBK"/>
          <w:sz w:val="32"/>
          <w:szCs w:val="32"/>
        </w:rPr>
      </w:pPr>
      <w:bookmarkStart w:id="47" w:name="_Toc58576643"/>
      <w:bookmarkStart w:id="48" w:name="_Toc55403948"/>
      <w:r>
        <w:rPr>
          <w:rFonts w:ascii="方正楷体_GBK" w:eastAsia="方正楷体_GBK"/>
          <w:sz w:val="32"/>
          <w:szCs w:val="32"/>
        </w:rPr>
        <w:t>第三节</w:t>
      </w:r>
      <w:r>
        <w:rPr>
          <w:rFonts w:hint="eastAsia" w:ascii="方正楷体_GBK" w:eastAsia="方正楷体_GBK"/>
          <w:sz w:val="32"/>
          <w:szCs w:val="32"/>
        </w:rPr>
        <w:t xml:space="preserve">  </w:t>
      </w:r>
      <w:r>
        <w:rPr>
          <w:rFonts w:ascii="方正楷体_GBK" w:eastAsia="方正楷体_GBK"/>
          <w:sz w:val="32"/>
          <w:szCs w:val="32"/>
        </w:rPr>
        <w:t>构建一流创新创业生态</w:t>
      </w:r>
      <w:bookmarkEnd w:id="47"/>
      <w:bookmarkEnd w:id="48"/>
    </w:p>
    <w:p>
      <w:pPr>
        <w:spacing w:line="560" w:lineRule="exact"/>
        <w:ind w:firstLine="640" w:firstLineChars="200"/>
        <w:rPr>
          <w:rFonts w:eastAsia="方正仿宋_GBK"/>
          <w:sz w:val="32"/>
          <w:szCs w:val="32"/>
        </w:rPr>
      </w:pPr>
      <w:r>
        <w:rPr>
          <w:rFonts w:eastAsia="方正仿宋_GBK"/>
          <w:sz w:val="32"/>
          <w:szCs w:val="32"/>
        </w:rPr>
        <w:t>优化创新政策环境。强化实施创新驱动战略顶层设计，制定实施一揽子提升创新核心地位的政策措施</w:t>
      </w:r>
      <w:r>
        <w:rPr>
          <w:rFonts w:hint="eastAsia" w:eastAsia="方正仿宋_GBK"/>
          <w:sz w:val="32"/>
          <w:szCs w:val="32"/>
        </w:rPr>
        <w:t>，市区两级设立400亿元创新发展资金，撬动形成2000亿元以上投资规模</w:t>
      </w:r>
      <w:r>
        <w:rPr>
          <w:rFonts w:eastAsia="方正仿宋_GBK"/>
          <w:sz w:val="32"/>
          <w:szCs w:val="32"/>
        </w:rPr>
        <w:t>。全面落实企业研究开发费用加计扣除、高新技术企业所得税及奖励、科研仪器设备加速折旧等政策，推动创新链各环节各类政策衔接配套。加强创新产品、创新服务公共采购、商业化前采购和消费激励等需求侧政策的探索与应用。深化科技管理体制改革，建立创新政策法规的跨部门协调机制和综合评价机制。持续办好常州市创新创业大赛，探索网上远程创业大赛模式和社会化办赛模式。</w:t>
      </w:r>
    </w:p>
    <w:p>
      <w:pPr>
        <w:spacing w:line="560" w:lineRule="exact"/>
        <w:ind w:firstLine="640" w:firstLineChars="200"/>
        <w:rPr>
          <w:rFonts w:eastAsia="方正仿宋_GBK"/>
          <w:sz w:val="32"/>
          <w:szCs w:val="32"/>
        </w:rPr>
      </w:pPr>
      <w:r>
        <w:rPr>
          <w:rFonts w:eastAsia="方正仿宋_GBK"/>
          <w:sz w:val="32"/>
          <w:szCs w:val="32"/>
        </w:rPr>
        <w:t>提升发展科技服务业。深入实施科技服务质效提升行动，精品打造一批科技服务骨干机构，推进科技服务业集聚区、示范区建设，打造一站式科技服务平台，形成集成化综合科技服务模式，建设高铁新城科技服务业特色基地，深化武进国家高新区国家科技服务业区域试点和江南石墨烯研究院国家科技服务业行业试点，支持省科技资源统筹中心金坛分中心建设。创新科技服务机构发展模式，组建科技服务业联盟，推进“互联网+科技服务”融合发展。推动科技服务资源开放共享，完善科学仪器设备共享服务网络，鼓励重点实验室、高端研发检测平台等各类创新平台向社会开放服务。</w:t>
      </w:r>
    </w:p>
    <w:p>
      <w:pPr>
        <w:spacing w:line="560" w:lineRule="exact"/>
        <w:ind w:firstLine="640" w:firstLineChars="200"/>
        <w:rPr>
          <w:rFonts w:eastAsia="方正仿宋_GBK"/>
          <w:sz w:val="32"/>
          <w:szCs w:val="32"/>
        </w:rPr>
      </w:pPr>
      <w:r>
        <w:rPr>
          <w:rFonts w:eastAsia="方正仿宋_GBK"/>
          <w:sz w:val="32"/>
          <w:szCs w:val="32"/>
        </w:rPr>
        <w:t>完善科技金融体系。建立适应创新链需求、覆盖创新全生命周期的科技金融服务体系，积极发展种子投资、天使投资、风险投资、产业投资基金等科技金融服务。支持符合条件的科技企业挂牌上市，发行公司债和直接债务融资工具。鼓励金融机构完善科技金融产品体系，做优做大“苏科贷”业务，拓展科技信用贷款、知识产权质押贷款等业务。支持科技金融专营机构面向科技型、初创型企业开展特色产品和金融服务创新。</w:t>
      </w:r>
    </w:p>
    <w:p>
      <w:pPr>
        <w:spacing w:line="540" w:lineRule="exact"/>
        <w:ind w:firstLine="640" w:firstLineChars="200"/>
        <w:rPr>
          <w:rFonts w:eastAsia="方正仿宋_GBK"/>
          <w:sz w:val="32"/>
          <w:szCs w:val="32"/>
        </w:rPr>
      </w:pPr>
      <w:r>
        <w:rPr>
          <w:rFonts w:eastAsia="方正仿宋_GBK"/>
          <w:sz w:val="32"/>
          <w:szCs w:val="32"/>
        </w:rPr>
        <w:t>加强知识产权保护。深入推进国家知识产权示范城市建设，提升发展中国（常州·机器人及智能硬件）知识产权保护中心，争创国家知识产权试点和示范园区。</w:t>
      </w:r>
      <w:r>
        <w:rPr>
          <w:rFonts w:hint="eastAsia" w:eastAsia="方正仿宋_GBK"/>
          <w:sz w:val="32"/>
          <w:szCs w:val="32"/>
        </w:rPr>
        <w:t>引导企业建立健全知识产权管理体系，推动高新技术企业、规模以上企业、上市企业知识产权贯标全覆盖。实施企业知识产权战略推进计划，培育一批知识产权优势企业、示范企业。以行业龙头企业为重点，以高校院所优势学科专业、重点研发创新平台为依托，建设高价值专利培育示范中心。</w:t>
      </w:r>
      <w:r>
        <w:rPr>
          <w:rFonts w:eastAsia="方正仿宋_GBK"/>
          <w:sz w:val="32"/>
          <w:szCs w:val="32"/>
        </w:rPr>
        <w:t>健全知识产权服务体系，推动知识产权服务机构规模化、品牌化发展，鼓励市场化知识产权运营机构发展，完善知识产权质押融资公共服务平台建设。鼓励国外知识产权服务机构在常依法设立办事机构，搭建一批国际知识产权服务合作平台，支持企业开展海外重点区域专利和商标战略布局，加强知识产权海外预警。实行最严格的知识产权保护制度，构建多元化国际化知识产权协同保护机制，完善知识产权非诉讼纠纷解决机制，建立知识产权侵权查处快速反应机制。</w:t>
      </w:r>
    </w:p>
    <w:p>
      <w:pPr>
        <w:spacing w:before="240" w:after="240" w:line="570" w:lineRule="exact"/>
        <w:jc w:val="center"/>
        <w:rPr>
          <w:rFonts w:ascii="方正黑体_GBK" w:eastAsia="方正黑体_GBK"/>
          <w:sz w:val="32"/>
          <w:szCs w:val="32"/>
        </w:rPr>
      </w:pPr>
      <w:bookmarkStart w:id="49" w:name="_Toc58576644"/>
      <w:bookmarkStart w:id="50" w:name="_Toc55403947"/>
      <w:r>
        <w:rPr>
          <w:rFonts w:ascii="方正黑体_GBK" w:eastAsia="方正黑体_GBK"/>
          <w:sz w:val="32"/>
          <w:szCs w:val="32"/>
        </w:rPr>
        <w:t>第六章</w:t>
      </w:r>
      <w:r>
        <w:rPr>
          <w:rFonts w:hint="eastAsia" w:ascii="方正黑体_GBK" w:eastAsia="方正黑体_GBK"/>
          <w:sz w:val="32"/>
          <w:szCs w:val="32"/>
        </w:rPr>
        <w:t xml:space="preserve">  </w:t>
      </w:r>
      <w:r>
        <w:rPr>
          <w:rFonts w:ascii="方正黑体_GBK" w:eastAsia="方正黑体_GBK"/>
          <w:sz w:val="32"/>
          <w:szCs w:val="32"/>
        </w:rPr>
        <w:t>打造长三角人才集聚新高地</w:t>
      </w:r>
      <w:bookmarkEnd w:id="49"/>
    </w:p>
    <w:p>
      <w:pPr>
        <w:spacing w:line="580" w:lineRule="exact"/>
        <w:ind w:firstLine="640" w:firstLineChars="200"/>
        <w:rPr>
          <w:rFonts w:eastAsia="方正仿宋_GBK"/>
          <w:sz w:val="32"/>
          <w:szCs w:val="32"/>
        </w:rPr>
      </w:pPr>
      <w:r>
        <w:rPr>
          <w:rFonts w:eastAsia="方正仿宋_GBK"/>
          <w:sz w:val="32"/>
          <w:szCs w:val="32"/>
        </w:rPr>
        <w:t>深入实施人才强市战略，强化“人才是第一资源”地位和作用，实施更加积极、更加开放、更加有效的“龙城英才计划”，深化人才发展体制机制改革，加大高端人才、技能人才和年轻人才引进力度，为各类人才在常创新创业提供更优环境，积极打造长三角人才集聚新高地。</w:t>
      </w:r>
    </w:p>
    <w:p>
      <w:pPr>
        <w:spacing w:before="240" w:after="240" w:line="580" w:lineRule="exact"/>
        <w:jc w:val="center"/>
        <w:rPr>
          <w:rFonts w:ascii="方正楷体_GBK" w:eastAsia="方正楷体_GBK"/>
          <w:sz w:val="32"/>
          <w:szCs w:val="32"/>
        </w:rPr>
      </w:pPr>
      <w:bookmarkStart w:id="51" w:name="_Toc58576645"/>
      <w:r>
        <w:rPr>
          <w:rFonts w:ascii="方正楷体_GBK" w:eastAsia="方正楷体_GBK"/>
          <w:sz w:val="32"/>
          <w:szCs w:val="32"/>
        </w:rPr>
        <w:t>第一节</w:t>
      </w:r>
      <w:bookmarkEnd w:id="50"/>
      <w:r>
        <w:rPr>
          <w:rFonts w:hint="eastAsia" w:ascii="方正楷体_GBK" w:eastAsia="方正楷体_GBK"/>
          <w:sz w:val="32"/>
          <w:szCs w:val="32"/>
        </w:rPr>
        <w:t xml:space="preserve">  </w:t>
      </w:r>
      <w:r>
        <w:rPr>
          <w:rFonts w:ascii="方正楷体_GBK" w:eastAsia="方正楷体_GBK"/>
          <w:sz w:val="32"/>
          <w:szCs w:val="32"/>
        </w:rPr>
        <w:t>创新人才发展机制</w:t>
      </w:r>
      <w:bookmarkEnd w:id="51"/>
    </w:p>
    <w:p>
      <w:pPr>
        <w:spacing w:line="580" w:lineRule="exact"/>
        <w:ind w:firstLine="640" w:firstLineChars="200"/>
        <w:rPr>
          <w:rFonts w:eastAsia="方正仿宋_GBK"/>
          <w:sz w:val="32"/>
          <w:szCs w:val="32"/>
        </w:rPr>
      </w:pPr>
      <w:r>
        <w:rPr>
          <w:rFonts w:eastAsia="方正仿宋_GBK"/>
          <w:sz w:val="32"/>
          <w:szCs w:val="32"/>
        </w:rPr>
        <w:t>创新人才培育招引机制。突出招才引智和招商引资并举，鼓励设置面向海外优秀人才的特聘岗位，探索新型引才机制和方式。突出高校人才源头培养，积极引进一批国内外知名高校，大力支持在常高校人才队伍建设和学科建设，着力提升在常</w:t>
      </w:r>
      <w:r>
        <w:rPr>
          <w:rFonts w:hint="eastAsia" w:eastAsia="方正仿宋_GBK"/>
          <w:sz w:val="32"/>
          <w:szCs w:val="32"/>
        </w:rPr>
        <w:t>院</w:t>
      </w:r>
      <w:r>
        <w:rPr>
          <w:rFonts w:eastAsia="方正仿宋_GBK"/>
          <w:sz w:val="32"/>
          <w:szCs w:val="32"/>
        </w:rPr>
        <w:t>校毕业生留常率，2025年留常就业率提高到50%以上</w:t>
      </w:r>
      <w:r>
        <w:rPr>
          <w:rFonts w:hint="eastAsia" w:eastAsia="方正仿宋_GBK"/>
          <w:sz w:val="32"/>
          <w:szCs w:val="32"/>
        </w:rPr>
        <w:t>，引进高校毕业生30万名以上</w:t>
      </w:r>
      <w:r>
        <w:rPr>
          <w:rFonts w:eastAsia="方正仿宋_GBK"/>
          <w:sz w:val="32"/>
          <w:szCs w:val="32"/>
        </w:rPr>
        <w:t>；对列入双一流专业院系培养计划的重点专业，</w:t>
      </w:r>
      <w:r>
        <w:rPr>
          <w:rFonts w:hint="eastAsia" w:eastAsia="方正仿宋_GBK"/>
          <w:sz w:val="32"/>
          <w:szCs w:val="32"/>
        </w:rPr>
        <w:t>在院士等高层次人才和学科团队引进方面实施</w:t>
      </w:r>
      <w:r>
        <w:rPr>
          <w:rFonts w:eastAsia="方正仿宋_GBK"/>
          <w:sz w:val="32"/>
          <w:szCs w:val="32"/>
        </w:rPr>
        <w:t>“</w:t>
      </w:r>
      <w:r>
        <w:rPr>
          <w:rFonts w:hint="eastAsia" w:eastAsia="方正仿宋_GBK"/>
          <w:sz w:val="32"/>
          <w:szCs w:val="32"/>
        </w:rPr>
        <w:t>一事一议</w:t>
      </w:r>
      <w:r>
        <w:rPr>
          <w:rFonts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创新人才评价与激励机制。分类推进人才评价机制改革，建立健全以科研诚信为基础，以创新能力、质量、贡献、绩效为导向的科技人才评价机制，完善以职业能力为核心标准的技术技能评价制度。强化人才保障性激励，探索完善联盟制的科技成果合作共享机制，建立资金投入、知识产权权属和利益分配机制，实施与国际接轨的研发人员知识产权薪酬管理、科技成果收益分成、知识产权质押融资政策。完善人才奖励荣誉制度。</w:t>
      </w:r>
    </w:p>
    <w:p>
      <w:pPr>
        <w:spacing w:line="560" w:lineRule="exact"/>
        <w:ind w:firstLine="640" w:firstLineChars="200"/>
        <w:rPr>
          <w:rFonts w:eastAsia="方正仿宋_GBK"/>
          <w:sz w:val="32"/>
          <w:szCs w:val="32"/>
        </w:rPr>
      </w:pPr>
      <w:r>
        <w:rPr>
          <w:rFonts w:eastAsia="方正仿宋_GBK"/>
          <w:sz w:val="32"/>
          <w:szCs w:val="32"/>
        </w:rPr>
        <w:t>完善创新创业人才服务体系。扩大特色产业“人才特区”试点，建立“人才链”工作推进机制。持续开展创业导师服务、科技创业沙龙等，为科技人才团队创业提供专业化、全方位服务。搭建“一站式”人才服务平台载体，实行“窗口受理、系统推送、部门审批、一窗通办”，为高层次人才提供“保姆式”“管家式”服务。探索开通高层次紧缺型人才“绿色通道”，深化落实高层次人才配偶就业、子女入托入学绿色通道等优惠政策，争取国内外专业资格互认、外籍高层次人才出入境便利化等先行先试。实行普惠性人才购房政策，积极推进人才公寓建设。加强青年科技人才联盟建设，广泛吸收优秀高层次青年人才，完善青年科技人才服务卡普惠功能。</w:t>
      </w:r>
    </w:p>
    <w:p>
      <w:pPr>
        <w:spacing w:before="240" w:after="240" w:line="580" w:lineRule="exact"/>
        <w:jc w:val="center"/>
        <w:rPr>
          <w:rFonts w:ascii="方正楷体_GBK" w:eastAsia="方正楷体_GBK"/>
          <w:sz w:val="32"/>
          <w:szCs w:val="32"/>
        </w:rPr>
      </w:pPr>
      <w:bookmarkStart w:id="52" w:name="_Toc58576646"/>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实施十大人才工程</w:t>
      </w:r>
      <w:bookmarkEnd w:id="52"/>
    </w:p>
    <w:p>
      <w:pPr>
        <w:spacing w:line="570" w:lineRule="exact"/>
        <w:ind w:firstLine="640" w:firstLineChars="200"/>
        <w:rPr>
          <w:rFonts w:eastAsia="方正仿宋_GBK"/>
          <w:sz w:val="32"/>
          <w:szCs w:val="32"/>
        </w:rPr>
      </w:pPr>
      <w:r>
        <w:rPr>
          <w:rFonts w:eastAsia="方正仿宋_GBK"/>
          <w:sz w:val="32"/>
          <w:szCs w:val="32"/>
        </w:rPr>
        <w:t>实施顶尖人才工程。聚焦解决“卡脖子”问题，聚焦自主可控技术，重点引进掌握关键核心技术、拥有核心竞争力，能填补国内空白或达到国内顶尖水平的战略科学家、学术带头人、卓越管理者等国内外顶尖人才团队。到2025年，新引进顶尖人才（团队）50个，领军型创新创业人才项目1000个。</w:t>
      </w:r>
    </w:p>
    <w:p>
      <w:pPr>
        <w:spacing w:line="570" w:lineRule="exact"/>
        <w:ind w:firstLine="640" w:firstLineChars="200"/>
        <w:rPr>
          <w:rFonts w:eastAsia="方正仿宋_GBK"/>
          <w:sz w:val="32"/>
          <w:szCs w:val="32"/>
        </w:rPr>
      </w:pPr>
      <w:r>
        <w:rPr>
          <w:rFonts w:eastAsia="方正仿宋_GBK"/>
          <w:sz w:val="32"/>
          <w:szCs w:val="32"/>
        </w:rPr>
        <w:t>实施创业人才工程。强化以贡献为主要评价依据的产业人才扶持体系，实施创业项目备案制，根据创业企业的税收、就业、阶段性成果等“综合性贡献”给予创业资助。更多运用活动引才、以赛引才、资本引才、以才引才等方式遴选人才项目。</w:t>
      </w:r>
    </w:p>
    <w:p>
      <w:pPr>
        <w:spacing w:line="570" w:lineRule="exact"/>
        <w:ind w:firstLine="640" w:firstLineChars="200"/>
        <w:rPr>
          <w:rFonts w:eastAsia="方正仿宋_GBK"/>
          <w:sz w:val="32"/>
          <w:szCs w:val="32"/>
        </w:rPr>
      </w:pPr>
      <w:r>
        <w:rPr>
          <w:rFonts w:eastAsia="方正仿宋_GBK"/>
          <w:sz w:val="32"/>
          <w:szCs w:val="32"/>
        </w:rPr>
        <w:t>实施创新人才工程。突出科技项目与人才项目协同发力，依托科技成果转化项目实施，在创新实践中识别和培养科技创新人才、创新团队。持续办好“万名硕博常州行”等活动，推进国家博士后工作站、省博士后创新实践基地建设，储备能够产生颠覆性技术变革、引领未来创新发展的人才资源和人才集群。</w:t>
      </w:r>
    </w:p>
    <w:p>
      <w:pPr>
        <w:spacing w:line="570" w:lineRule="exact"/>
        <w:ind w:firstLine="640" w:firstLineChars="200"/>
        <w:rPr>
          <w:rFonts w:eastAsia="方正仿宋_GBK"/>
          <w:sz w:val="32"/>
          <w:szCs w:val="32"/>
        </w:rPr>
      </w:pPr>
      <w:r>
        <w:rPr>
          <w:rFonts w:eastAsia="方正仿宋_GBK"/>
          <w:sz w:val="32"/>
          <w:szCs w:val="32"/>
        </w:rPr>
        <w:t>实施技能人才工程。深入推进新时代常州产业工人队伍建设，实施“技能龙城”建设行动和高技能领军人才倍增计划，打造高技能人才队伍。深入推进产教融合发展，推进校企双制、工学一体培养模式，建设国家产教融合示范城市。</w:t>
      </w:r>
    </w:p>
    <w:p>
      <w:pPr>
        <w:spacing w:line="570" w:lineRule="exact"/>
        <w:ind w:firstLine="640" w:firstLineChars="200"/>
        <w:rPr>
          <w:rFonts w:eastAsia="方正仿宋_GBK"/>
          <w:sz w:val="32"/>
          <w:szCs w:val="32"/>
        </w:rPr>
      </w:pPr>
      <w:r>
        <w:rPr>
          <w:rFonts w:eastAsia="方正仿宋_GBK"/>
          <w:sz w:val="32"/>
          <w:szCs w:val="32"/>
        </w:rPr>
        <w:t>实施青年人才工程。加大青年人才集聚力度，降低人才落户门槛，培育城市新生力量，建设数量充足、结构合理、素质优良、具有竞争力的青年人才队伍。提高企业引进博士支持力度，提高青年硕士、世界一流大学建设高校本科生购房补贴标准。赋予开发区、规模企业、重大项目、30亿元以上的辖市（区）重点项目紧缺人才推荐权。</w:t>
      </w:r>
    </w:p>
    <w:p>
      <w:pPr>
        <w:spacing w:line="570" w:lineRule="exact"/>
        <w:ind w:firstLine="640" w:firstLineChars="200"/>
        <w:rPr>
          <w:rFonts w:eastAsia="方正仿宋_GBK"/>
          <w:sz w:val="32"/>
          <w:szCs w:val="32"/>
        </w:rPr>
      </w:pPr>
      <w:r>
        <w:rPr>
          <w:rFonts w:eastAsia="方正仿宋_GBK"/>
          <w:sz w:val="32"/>
          <w:szCs w:val="32"/>
        </w:rPr>
        <w:t>实施民生人才工程。深化教育人才发展体制机制改革，实施“三名一好”工程，加强“五级梯队”建设，全面推进高素质专业化创新型教育人才队伍建设。系统整合卫生人才引进、培养政策，着重加强对卫生重点学科、领军人才和优秀医学博士的培养和引进，大力实施卫生青苗人才工程，滚动培养卫生潜力人才。</w:t>
      </w:r>
    </w:p>
    <w:p>
      <w:pPr>
        <w:spacing w:line="570" w:lineRule="exact"/>
        <w:ind w:firstLine="640" w:firstLineChars="200"/>
        <w:rPr>
          <w:rFonts w:eastAsia="方正仿宋_GBK"/>
          <w:sz w:val="32"/>
          <w:szCs w:val="32"/>
        </w:rPr>
      </w:pPr>
      <w:r>
        <w:rPr>
          <w:rFonts w:eastAsia="方正仿宋_GBK"/>
          <w:sz w:val="32"/>
          <w:szCs w:val="32"/>
        </w:rPr>
        <w:t>实施金融人才工程。制定金融专业人才引进支持政策，鼓励载体整体引进、团队集体引进、核心人才带动引进等多种方式。深化在职金融人才的教育培养，加强多梯队复合型金融人才培养。</w:t>
      </w:r>
    </w:p>
    <w:p>
      <w:pPr>
        <w:spacing w:line="570" w:lineRule="exact"/>
        <w:ind w:firstLine="640" w:firstLineChars="200"/>
        <w:rPr>
          <w:rFonts w:eastAsia="方正仿宋_GBK"/>
          <w:sz w:val="32"/>
          <w:szCs w:val="32"/>
        </w:rPr>
      </w:pPr>
      <w:r>
        <w:rPr>
          <w:rFonts w:eastAsia="方正仿宋_GBK"/>
          <w:sz w:val="32"/>
          <w:szCs w:val="32"/>
        </w:rPr>
        <w:t>实施乡土人才工程。创新乡土人才职称评价方式，开辟“乡村振兴技艺师”等专业技术职称评审“绿色通道”，支持长期活跃在乡村建设一线的“土专家”“田秀才”申报副高、正高级职称。</w:t>
      </w:r>
    </w:p>
    <w:p>
      <w:pPr>
        <w:spacing w:line="570" w:lineRule="exact"/>
        <w:ind w:firstLine="640" w:firstLineChars="200"/>
        <w:rPr>
          <w:rFonts w:eastAsia="方正仿宋_GBK"/>
          <w:sz w:val="32"/>
          <w:szCs w:val="32"/>
        </w:rPr>
      </w:pPr>
      <w:r>
        <w:rPr>
          <w:rFonts w:eastAsia="方正仿宋_GBK"/>
          <w:sz w:val="32"/>
          <w:szCs w:val="32"/>
        </w:rPr>
        <w:t>实施服务人才工程。加大引进培养文旅人才力度，建立完善本土文化旅游人才整体培养模式，柔性引进旅游规划、创意策划、市场营销、智慧旅游等文旅专业人才，加快建立一支懂文化、熟产业、善经营的文旅人才队伍。积极开展市工业美术大师评选和工艺美术大师示范工作室建设。</w:t>
      </w:r>
    </w:p>
    <w:p>
      <w:pPr>
        <w:spacing w:line="570" w:lineRule="exact"/>
        <w:ind w:firstLine="640" w:firstLineChars="200"/>
        <w:rPr>
          <w:rFonts w:eastAsia="方正仿宋_GBK"/>
          <w:sz w:val="32"/>
          <w:szCs w:val="32"/>
        </w:rPr>
      </w:pPr>
      <w:r>
        <w:rPr>
          <w:rFonts w:eastAsia="方正仿宋_GBK"/>
          <w:sz w:val="32"/>
          <w:szCs w:val="32"/>
        </w:rPr>
        <w:t>实施管理人才工程。围绕重点产业、重点企业发展，加快培育和造就一批掌握现代管理知识、熟悉行业专业技术、适应高质量发展需要的职业化、现代化、国际化的复合型企业经营管理人才队伍。坚持企业用人主体地位，充分发挥市场配置经营管理人才的决定性作用，积极参与全球经营管理人才竞争，全面提升企业经营管理人才的素质和水平。</w:t>
      </w:r>
    </w:p>
    <w:p>
      <w:pPr>
        <w:spacing w:line="580" w:lineRule="exact"/>
        <w:jc w:val="center"/>
        <w:rPr>
          <w:rFonts w:hint="eastAsia" w:ascii="方正黑体_GBK" w:eastAsia="方正黑体_GBK"/>
          <w:sz w:val="32"/>
          <w:szCs w:val="32"/>
        </w:rPr>
      </w:pPr>
      <w:r>
        <w:rPr>
          <w:rFonts w:eastAsia="仿宋_GB2312"/>
          <w:sz w:val="32"/>
          <w:szCs w:val="32"/>
        </w:rPr>
        <w:br w:type="page"/>
      </w:r>
    </w:p>
    <w:p>
      <w:pPr>
        <w:spacing w:line="580" w:lineRule="exact"/>
        <w:jc w:val="center"/>
        <w:rPr>
          <w:rFonts w:hint="eastAsia" w:ascii="方正小标宋_GBK" w:eastAsia="方正小标宋_GBK"/>
          <w:sz w:val="44"/>
          <w:szCs w:val="44"/>
        </w:rPr>
      </w:pPr>
      <w:bookmarkStart w:id="53" w:name="_Toc55403966"/>
      <w:bookmarkStart w:id="54" w:name="_Toc58576647"/>
      <w:bookmarkStart w:id="55" w:name="_Hlk53684835"/>
      <w:r>
        <w:rPr>
          <w:rFonts w:hint="eastAsia" w:ascii="方正小标宋_GBK" w:eastAsia="方正小标宋_GBK"/>
          <w:sz w:val="44"/>
          <w:szCs w:val="44"/>
        </w:rPr>
        <w:t>第三篇  建设长三角中轴枢纽</w:t>
      </w:r>
      <w:bookmarkEnd w:id="53"/>
      <w:bookmarkEnd w:id="54"/>
    </w:p>
    <w:p>
      <w:pPr>
        <w:spacing w:line="580" w:lineRule="exact"/>
        <w:jc w:val="center"/>
        <w:rPr>
          <w:rFonts w:hint="eastAsia" w:ascii="方正小标宋_GBK" w:eastAsia="方正小标宋_GBK"/>
          <w:b/>
          <w:sz w:val="44"/>
          <w:szCs w:val="44"/>
        </w:rPr>
      </w:pPr>
    </w:p>
    <w:p>
      <w:pPr>
        <w:spacing w:after="240" w:line="580" w:lineRule="exact"/>
        <w:jc w:val="center"/>
        <w:rPr>
          <w:rFonts w:ascii="方正黑体_GBK" w:eastAsia="方正黑体_GBK"/>
          <w:sz w:val="32"/>
          <w:szCs w:val="32"/>
        </w:rPr>
      </w:pPr>
      <w:bookmarkStart w:id="56" w:name="_Toc58576648"/>
      <w:bookmarkStart w:id="57" w:name="_Toc55403967"/>
      <w:bookmarkStart w:id="58" w:name="_Hlk54949579"/>
      <w:r>
        <w:rPr>
          <w:rFonts w:ascii="方正黑体_GBK" w:eastAsia="方正黑体_GBK"/>
          <w:sz w:val="32"/>
          <w:szCs w:val="32"/>
        </w:rPr>
        <w:t>第七章</w:t>
      </w:r>
      <w:r>
        <w:rPr>
          <w:rFonts w:hint="eastAsia" w:ascii="方正黑体_GBK" w:eastAsia="方正黑体_GBK"/>
          <w:sz w:val="32"/>
          <w:szCs w:val="32"/>
        </w:rPr>
        <w:t xml:space="preserve">  </w:t>
      </w:r>
      <w:r>
        <w:rPr>
          <w:rFonts w:ascii="方正黑体_GBK" w:eastAsia="方正黑体_GBK"/>
          <w:sz w:val="32"/>
          <w:szCs w:val="32"/>
        </w:rPr>
        <w:t>打造区域综合交通枢纽城市</w:t>
      </w:r>
      <w:bookmarkEnd w:id="56"/>
    </w:p>
    <w:bookmarkEnd w:id="57"/>
    <w:p>
      <w:pPr>
        <w:spacing w:line="570" w:lineRule="exact"/>
        <w:ind w:firstLine="640" w:firstLineChars="200"/>
        <w:rPr>
          <w:rFonts w:eastAsia="方正仿宋_GBK"/>
          <w:sz w:val="32"/>
          <w:szCs w:val="32"/>
        </w:rPr>
      </w:pPr>
      <w:bookmarkStart w:id="59" w:name="_Toc55403968"/>
      <w:r>
        <w:rPr>
          <w:rFonts w:eastAsia="方正仿宋_GBK"/>
          <w:sz w:val="32"/>
          <w:szCs w:val="32"/>
        </w:rPr>
        <w:t>全力推进干线铁路、高速公路、高等级航道等通道能力建设和城际交通网络体系建设，着力提升城市枢纽能级和区域辐射带动力。</w:t>
      </w:r>
    </w:p>
    <w:p>
      <w:pPr>
        <w:spacing w:before="240" w:after="240" w:line="580" w:lineRule="exact"/>
        <w:jc w:val="center"/>
        <w:rPr>
          <w:rFonts w:ascii="方正楷体_GBK" w:eastAsia="方正楷体_GBK"/>
          <w:sz w:val="32"/>
          <w:szCs w:val="32"/>
        </w:rPr>
      </w:pPr>
      <w:bookmarkStart w:id="60" w:name="_Toc58576649"/>
      <w:r>
        <w:rPr>
          <w:rFonts w:ascii="方正楷体_GBK" w:eastAsia="方正楷体_GBK"/>
          <w:sz w:val="32"/>
          <w:szCs w:val="32"/>
        </w:rPr>
        <w:t>第一节</w:t>
      </w:r>
      <w:bookmarkEnd w:id="59"/>
      <w:r>
        <w:rPr>
          <w:rFonts w:hint="eastAsia" w:ascii="方正楷体_GBK" w:eastAsia="方正楷体_GBK"/>
          <w:sz w:val="32"/>
          <w:szCs w:val="32"/>
        </w:rPr>
        <w:t xml:space="preserve">  </w:t>
      </w:r>
      <w:r>
        <w:rPr>
          <w:rFonts w:ascii="方正楷体_GBK" w:eastAsia="方正楷体_GBK"/>
          <w:sz w:val="32"/>
          <w:szCs w:val="32"/>
        </w:rPr>
        <w:t>强化中轴干线通道能力</w:t>
      </w:r>
      <w:bookmarkEnd w:id="60"/>
    </w:p>
    <w:p>
      <w:pPr>
        <w:spacing w:line="570" w:lineRule="exact"/>
        <w:ind w:firstLine="640" w:firstLineChars="200"/>
        <w:rPr>
          <w:rFonts w:eastAsia="方正仿宋_GBK"/>
          <w:sz w:val="32"/>
          <w:szCs w:val="32"/>
        </w:rPr>
      </w:pPr>
      <w:r>
        <w:rPr>
          <w:rFonts w:eastAsia="方正仿宋_GBK"/>
          <w:sz w:val="32"/>
          <w:szCs w:val="32"/>
        </w:rPr>
        <w:t>加快干线铁路规划建设。建成常泰过江通道，开工建设</w:t>
      </w:r>
      <w:r>
        <w:rPr>
          <w:rFonts w:hint="eastAsia" w:eastAsia="方正仿宋_GBK"/>
          <w:sz w:val="32"/>
          <w:szCs w:val="32"/>
        </w:rPr>
        <w:t>常泰</w:t>
      </w:r>
      <w:r>
        <w:rPr>
          <w:rFonts w:eastAsia="方正仿宋_GBK"/>
          <w:sz w:val="32"/>
          <w:szCs w:val="32"/>
        </w:rPr>
        <w:t>城际铁路；建成南沿江铁路常州段，</w:t>
      </w:r>
      <w:r>
        <w:rPr>
          <w:rFonts w:hint="eastAsia" w:eastAsia="方正仿宋_GBK"/>
          <w:sz w:val="32"/>
          <w:szCs w:val="32"/>
        </w:rPr>
        <w:t>开工建设盐泰锡常宜铁路常州段，推进连镇铁路南延工程前期研究，加快构建</w:t>
      </w:r>
      <w:r>
        <w:rPr>
          <w:rFonts w:eastAsia="方正仿宋_GBK"/>
          <w:sz w:val="32"/>
          <w:szCs w:val="32"/>
        </w:rPr>
        <w:t>“</w:t>
      </w:r>
      <w:r>
        <w:rPr>
          <w:rFonts w:hint="eastAsia" w:eastAsia="方正仿宋_GBK"/>
          <w:sz w:val="32"/>
          <w:szCs w:val="32"/>
        </w:rPr>
        <w:t>三纵四横</w:t>
      </w:r>
      <w:r>
        <w:rPr>
          <w:rFonts w:eastAsia="方正仿宋_GBK"/>
          <w:sz w:val="32"/>
          <w:szCs w:val="32"/>
        </w:rPr>
        <w:t>”</w:t>
      </w:r>
      <w:r>
        <w:rPr>
          <w:rFonts w:hint="eastAsia" w:eastAsia="方正仿宋_GBK"/>
          <w:sz w:val="32"/>
          <w:szCs w:val="32"/>
        </w:rPr>
        <w:t>高速铁路网络。到</w:t>
      </w:r>
      <w:r>
        <w:rPr>
          <w:rFonts w:eastAsia="方正仿宋_GBK"/>
          <w:sz w:val="32"/>
          <w:szCs w:val="32"/>
        </w:rPr>
        <w:t>2025</w:t>
      </w:r>
      <w:r>
        <w:rPr>
          <w:rFonts w:hint="eastAsia" w:eastAsia="方正仿宋_GBK"/>
          <w:sz w:val="32"/>
          <w:szCs w:val="32"/>
        </w:rPr>
        <w:t>年，干线铁路网里程达到</w:t>
      </w:r>
      <w:r>
        <w:rPr>
          <w:rFonts w:eastAsia="方正仿宋_GBK"/>
          <w:sz w:val="32"/>
          <w:szCs w:val="32"/>
        </w:rPr>
        <w:t>273</w:t>
      </w:r>
      <w:r>
        <w:rPr>
          <w:rFonts w:hint="eastAsia" w:eastAsia="方正仿宋_GBK"/>
          <w:sz w:val="32"/>
          <w:szCs w:val="32"/>
        </w:rPr>
        <w:t>公里，实现辖市（区）全部通高铁。</w:t>
      </w:r>
    </w:p>
    <w:p>
      <w:pPr>
        <w:spacing w:line="570" w:lineRule="exact"/>
        <w:ind w:firstLine="640" w:firstLineChars="200"/>
        <w:rPr>
          <w:rFonts w:eastAsia="方正仿宋_GBK"/>
          <w:sz w:val="32"/>
          <w:szCs w:val="32"/>
        </w:rPr>
      </w:pPr>
      <w:r>
        <w:rPr>
          <w:rFonts w:eastAsia="方正仿宋_GBK"/>
          <w:sz w:val="32"/>
          <w:szCs w:val="32"/>
        </w:rPr>
        <w:t>加密高速公路网络。完善“三环十九射”高速公路网，建成溧阳至宁德公路江苏段、苏锡常南部高速常州段、常泰长江大桥及连接线工程、丹金高速、金宜高速，开工建设宁常高速西林至导墅段、靖澄常宜高速（S90南延）常州段、沪武及锡宜高速常州段改扩建工程。开展苏锡常南部高速西延、滨江高速等前期研究工作，力争开工。到2025年</w:t>
      </w:r>
      <w:r>
        <w:rPr>
          <w:rFonts w:hint="eastAsia" w:eastAsia="方正仿宋_GBK"/>
          <w:sz w:val="32"/>
          <w:szCs w:val="32"/>
        </w:rPr>
        <w:t>，</w:t>
      </w:r>
      <w:r>
        <w:rPr>
          <w:rFonts w:eastAsia="方正仿宋_GBK"/>
          <w:sz w:val="32"/>
          <w:szCs w:val="32"/>
        </w:rPr>
        <w:t>高速公路里程达到394公里，覆盖密度达到</w:t>
      </w:r>
      <w:r>
        <w:rPr>
          <w:rFonts w:hint="eastAsia" w:eastAsia="方正仿宋_GBK"/>
          <w:sz w:val="32"/>
          <w:szCs w:val="32"/>
        </w:rPr>
        <w:t>9</w:t>
      </w:r>
      <w:r>
        <w:rPr>
          <w:rFonts w:eastAsia="方正仿宋_GBK"/>
          <w:sz w:val="32"/>
          <w:szCs w:val="32"/>
        </w:rPr>
        <w:t>公里/百平方公里。</w:t>
      </w:r>
    </w:p>
    <w:p>
      <w:pPr>
        <w:spacing w:line="570" w:lineRule="exact"/>
        <w:ind w:firstLine="640" w:firstLineChars="200"/>
        <w:rPr>
          <w:rFonts w:eastAsia="方正仿宋_GBK"/>
          <w:sz w:val="32"/>
          <w:szCs w:val="32"/>
        </w:rPr>
      </w:pPr>
      <w:r>
        <w:rPr>
          <w:rFonts w:eastAsia="方正仿宋_GBK"/>
          <w:sz w:val="32"/>
          <w:szCs w:val="32"/>
        </w:rPr>
        <w:t>完善内河航运网络。完成芜申运河航道整治，加快推进德胜河“六改三”项目，优化市域“通江达海”的内河航道体系。整合内河岸线资源，优化市域内河码头布局，推动内河公用码头建设，培育内河货运市场，加强内河码头与太仓港、上海港之间联动发展，鼓励开设“水</w:t>
      </w:r>
      <w:r>
        <w:rPr>
          <w:rFonts w:hint="eastAsia" w:eastAsia="方正仿宋_GBK"/>
          <w:sz w:val="32"/>
          <w:szCs w:val="32"/>
        </w:rPr>
        <w:t>—</w:t>
      </w:r>
      <w:r>
        <w:rPr>
          <w:rFonts w:eastAsia="方正仿宋_GBK"/>
          <w:sz w:val="32"/>
          <w:szCs w:val="32"/>
        </w:rPr>
        <w:t>水”转运班船。</w:t>
      </w:r>
    </w:p>
    <w:p>
      <w:pPr>
        <w:spacing w:before="240" w:after="240" w:line="580" w:lineRule="exact"/>
        <w:jc w:val="center"/>
        <w:rPr>
          <w:rFonts w:ascii="方正楷体_GBK" w:eastAsia="方正楷体_GBK"/>
          <w:sz w:val="32"/>
          <w:szCs w:val="32"/>
        </w:rPr>
      </w:pPr>
      <w:bookmarkStart w:id="61" w:name="_Toc58576650"/>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提升中轴综合枢纽能级</w:t>
      </w:r>
      <w:bookmarkEnd w:id="61"/>
    </w:p>
    <w:p>
      <w:pPr>
        <w:spacing w:line="570" w:lineRule="exact"/>
        <w:ind w:firstLine="640" w:firstLineChars="200"/>
        <w:rPr>
          <w:rFonts w:eastAsia="方正仿宋_GBK"/>
          <w:sz w:val="32"/>
          <w:szCs w:val="32"/>
        </w:rPr>
      </w:pPr>
      <w:r>
        <w:rPr>
          <w:rFonts w:eastAsia="方正仿宋_GBK"/>
          <w:sz w:val="32"/>
          <w:szCs w:val="32"/>
        </w:rPr>
        <w:t>建设华东干线机场。完成常州国际机场航站区改扩建工程，系统推进机场空地、空铁一体化综合交通体系建设，保障年750万人次旅客吞吐量。提升航空枢纽客运服务水平，加密京津冀、粤港澳、成渝等城市圈骨干航线频次，完善中短途国际航线网络，推进东航基地二期建设，积极引入新的基地航空公司。建设航空物流集散中心，完善国内货运网络体系建设，开辟国际全货机航线，建设国际快递分拣中心、境外生鲜水果冷链配送基地。推动通用机场发展建设，建成江苏天目湖通用机场，开工建设武进前黄通用机场。</w:t>
      </w:r>
    </w:p>
    <w:p>
      <w:pPr>
        <w:spacing w:line="570" w:lineRule="exact"/>
        <w:ind w:firstLine="640" w:firstLineChars="200"/>
        <w:rPr>
          <w:rFonts w:eastAsia="方正仿宋_GBK"/>
          <w:sz w:val="32"/>
          <w:szCs w:val="32"/>
        </w:rPr>
      </w:pPr>
      <w:r>
        <w:rPr>
          <w:rFonts w:eastAsia="方正仿宋_GBK"/>
          <w:sz w:val="32"/>
          <w:szCs w:val="32"/>
        </w:rPr>
        <w:t>建设智慧港口。加快港口转型发展，整合录安洲、建滔、新长江码头岸线资源，推动“专业化分工、一体化运营”。提升录安洲码头专业化水平，加快推进5、6号等沿江泊位工程前期工作，完成录安洲码头</w:t>
      </w:r>
      <w:r>
        <w:rPr>
          <w:rFonts w:hint="eastAsia" w:eastAsia="方正仿宋_GBK"/>
          <w:sz w:val="32"/>
          <w:szCs w:val="32"/>
        </w:rPr>
        <w:t>环保</w:t>
      </w:r>
      <w:r>
        <w:rPr>
          <w:rFonts w:eastAsia="方正仿宋_GBK"/>
          <w:sz w:val="32"/>
          <w:szCs w:val="32"/>
        </w:rPr>
        <w:t>转型升级、新长江码头改扩建工程、建滔码头</w:t>
      </w:r>
      <w:r>
        <w:rPr>
          <w:rFonts w:hint="eastAsia" w:eastAsia="方正仿宋_GBK"/>
          <w:sz w:val="32"/>
          <w:szCs w:val="32"/>
        </w:rPr>
        <w:t>转型</w:t>
      </w:r>
      <w:r>
        <w:rPr>
          <w:rFonts w:eastAsia="方正仿宋_GBK"/>
          <w:sz w:val="32"/>
          <w:szCs w:val="32"/>
        </w:rPr>
        <w:t>改造工程。对德胜河船闸及水利枢纽内迁后德胜河口两侧用地进行控制，开展德胜河港区多式联运集散中心规划研究工作。积极开展“沪常通”试点，建设综合保税区奔牛新片区，开展保税与非保税物流业务的整合联动，打造“上海</w:t>
      </w:r>
      <w:r>
        <w:rPr>
          <w:rFonts w:hint="eastAsia" w:eastAsia="方正仿宋_GBK"/>
          <w:sz w:val="32"/>
          <w:szCs w:val="32"/>
        </w:rPr>
        <w:t>—</w:t>
      </w:r>
      <w:r>
        <w:rPr>
          <w:rFonts w:eastAsia="方正仿宋_GBK"/>
          <w:sz w:val="32"/>
          <w:szCs w:val="32"/>
        </w:rPr>
        <w:t>常州”组合港，创新沪常快速通关模式，推进沪常两地物流服务一体化。加快常州运河西港西迁的前期研究和项目实施。</w:t>
      </w:r>
    </w:p>
    <w:p>
      <w:pPr>
        <w:spacing w:line="570" w:lineRule="exact"/>
        <w:ind w:firstLine="640" w:firstLineChars="200"/>
        <w:rPr>
          <w:rFonts w:eastAsia="方正仿宋_GBK"/>
          <w:sz w:val="32"/>
          <w:szCs w:val="32"/>
        </w:rPr>
      </w:pPr>
      <w:r>
        <w:rPr>
          <w:rFonts w:eastAsia="方正仿宋_GBK"/>
          <w:sz w:val="32"/>
          <w:szCs w:val="32"/>
        </w:rPr>
        <w:t>建设站城一体综合客运枢纽。完成常州北站站城一体综合枢纽建设，新建常州西站、常州南站、溧阳北站。建成金坛站、武进站综合枢纽。</w:t>
      </w:r>
    </w:p>
    <w:p>
      <w:pPr>
        <w:spacing w:before="240" w:after="240" w:line="580" w:lineRule="exact"/>
        <w:jc w:val="center"/>
        <w:rPr>
          <w:rFonts w:ascii="方正楷体_GBK" w:eastAsia="方正楷体_GBK"/>
          <w:sz w:val="32"/>
          <w:szCs w:val="32"/>
        </w:rPr>
      </w:pPr>
      <w:bookmarkStart w:id="62" w:name="_Toc58576651"/>
      <w:r>
        <w:rPr>
          <w:rFonts w:ascii="方正楷体_GBK" w:eastAsia="方正楷体_GBK"/>
          <w:sz w:val="32"/>
          <w:szCs w:val="32"/>
        </w:rPr>
        <w:t>第三节</w:t>
      </w:r>
      <w:r>
        <w:rPr>
          <w:rFonts w:hint="eastAsia" w:ascii="方正楷体_GBK" w:eastAsia="方正楷体_GBK"/>
          <w:sz w:val="32"/>
          <w:szCs w:val="32"/>
        </w:rPr>
        <w:t xml:space="preserve">  </w:t>
      </w:r>
      <w:r>
        <w:rPr>
          <w:rFonts w:ascii="方正楷体_GBK" w:eastAsia="方正楷体_GBK"/>
          <w:sz w:val="32"/>
          <w:szCs w:val="32"/>
        </w:rPr>
        <w:t>完善城际综合交通网络</w:t>
      </w:r>
      <w:bookmarkEnd w:id="62"/>
    </w:p>
    <w:p>
      <w:pPr>
        <w:spacing w:line="570" w:lineRule="exact"/>
        <w:ind w:firstLine="640" w:firstLineChars="200"/>
        <w:rPr>
          <w:rFonts w:eastAsia="方正仿宋_GBK"/>
          <w:sz w:val="32"/>
          <w:szCs w:val="32"/>
        </w:rPr>
      </w:pPr>
      <w:r>
        <w:rPr>
          <w:rFonts w:eastAsia="方正仿宋_GBK"/>
          <w:sz w:val="32"/>
          <w:szCs w:val="32"/>
        </w:rPr>
        <w:t>共建都市圈城际铁路网络。开工建设苏锡常都市快线及金坛连接线。开展苏锡常都市快线金坛连接线西延至句容、常州（机场）至丹阳至镇江至扬州都市快线、常州至溧阳至溧水都市圈连接线、沿江快线常州至江阴段等都市圈城际铁路规划研究。</w:t>
      </w:r>
    </w:p>
    <w:p>
      <w:pPr>
        <w:spacing w:line="570" w:lineRule="exact"/>
        <w:ind w:firstLine="640" w:firstLineChars="200"/>
        <w:rPr>
          <w:rFonts w:eastAsia="方正仿宋_GBK"/>
          <w:sz w:val="32"/>
          <w:szCs w:val="32"/>
        </w:rPr>
      </w:pPr>
      <w:r>
        <w:rPr>
          <w:rFonts w:eastAsia="方正仿宋_GBK"/>
          <w:sz w:val="32"/>
          <w:szCs w:val="32"/>
        </w:rPr>
        <w:t>共建都市圈快速路系统。建成沪宁快速通道（G312横林至湖塘东段）、青洋路二期工程，开工建设常溧（S239）、靖澄常（S232）、常宜（S262）、丹常澄（S122）</w:t>
      </w:r>
      <w:r>
        <w:rPr>
          <w:rFonts w:hint="eastAsia" w:eastAsia="方正仿宋_GBK"/>
          <w:sz w:val="32"/>
          <w:szCs w:val="32"/>
        </w:rPr>
        <w:t>等快速化改造项目</w:t>
      </w:r>
      <w:r>
        <w:rPr>
          <w:rFonts w:eastAsia="方正仿宋_GBK"/>
          <w:sz w:val="32"/>
          <w:szCs w:val="32"/>
        </w:rPr>
        <w:t>，积极推进丹金溧快速、S357快速化、龙江高架北延段项目，构建“四环二十一射”快速路网。</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spacing w:line="420" w:lineRule="exact"/>
              <w:jc w:val="center"/>
              <w:rPr>
                <w:rFonts w:eastAsia="方正仿宋_GBK"/>
                <w:bCs/>
                <w:sz w:val="28"/>
                <w:szCs w:val="28"/>
              </w:rPr>
            </w:pPr>
            <w:r>
              <w:rPr>
                <w:rFonts w:eastAsia="方正仿宋_GBK"/>
                <w:bCs/>
                <w:sz w:val="28"/>
                <w:szCs w:val="28"/>
              </w:rPr>
              <w:t>专栏7-1</w:t>
            </w:r>
            <w:r>
              <w:rPr>
                <w:rFonts w:hint="eastAsia" w:eastAsia="方正仿宋_GBK"/>
                <w:bCs/>
                <w:sz w:val="28"/>
                <w:szCs w:val="28"/>
              </w:rPr>
              <w:t xml:space="preserve">  </w:t>
            </w:r>
            <w:r>
              <w:rPr>
                <w:rFonts w:eastAsia="方正仿宋_GBK"/>
                <w:bCs/>
                <w:sz w:val="28"/>
                <w:szCs w:val="28"/>
              </w:rPr>
              <w:t>交通基础设施建设重点工程（项目）</w:t>
            </w:r>
          </w:p>
          <w:p>
            <w:pPr>
              <w:spacing w:line="420" w:lineRule="exact"/>
              <w:ind w:firstLine="560" w:firstLineChars="200"/>
              <w:rPr>
                <w:rFonts w:eastAsia="方正仿宋_GBK"/>
                <w:bCs/>
                <w:sz w:val="28"/>
                <w:szCs w:val="28"/>
              </w:rPr>
            </w:pPr>
            <w:r>
              <w:rPr>
                <w:rFonts w:eastAsia="方正仿宋_GBK"/>
                <w:bCs/>
                <w:sz w:val="28"/>
                <w:szCs w:val="28"/>
              </w:rPr>
              <w:t>铁路：南沿江城际铁路常州段、常泰公铁两用桥、常泰铁路常州段、盐泰锡常宜铁路常州段、苏锡常都市快线常州段、连镇铁路南延镇江-溧阳段、常州至金坛至句容都市圈连接线、常州至溧阳至溧水都市圈连接线、沿江快线常州至江阴段、常州（机场）至丹阳至镇江至扬州都市快线等。</w:t>
            </w:r>
          </w:p>
          <w:p>
            <w:pPr>
              <w:spacing w:line="420" w:lineRule="exact"/>
              <w:ind w:firstLine="560" w:firstLineChars="200"/>
              <w:rPr>
                <w:rFonts w:eastAsia="方正仿宋_GBK"/>
                <w:bCs/>
                <w:sz w:val="28"/>
                <w:szCs w:val="28"/>
              </w:rPr>
            </w:pPr>
            <w:r>
              <w:rPr>
                <w:rFonts w:eastAsia="方正仿宋_GBK"/>
                <w:bCs/>
                <w:sz w:val="28"/>
                <w:szCs w:val="28"/>
              </w:rPr>
              <w:t>航道：芜申线溧阳城区段、德胜河整治工程，锡溧漕河前黄枢纽工程、魏村枢纽扩容改建工程等。</w:t>
            </w:r>
          </w:p>
          <w:p>
            <w:pPr>
              <w:spacing w:line="420" w:lineRule="exact"/>
              <w:ind w:firstLine="560" w:firstLineChars="200"/>
              <w:rPr>
                <w:rFonts w:eastAsia="方正仿宋_GBK"/>
                <w:bCs/>
                <w:sz w:val="28"/>
                <w:szCs w:val="28"/>
              </w:rPr>
            </w:pPr>
            <w:r>
              <w:rPr>
                <w:rFonts w:eastAsia="方正仿宋_GBK"/>
                <w:bCs/>
                <w:sz w:val="28"/>
                <w:szCs w:val="28"/>
              </w:rPr>
              <w:t>港口：圩塘港区新长江码头改扩建工程，溧阳港区溧城西作业区码头工程，市区港区运河东港集装箱堆场工程，市区港区德胜作业区、高新作业区，录安洲港区5、6号泊位工程；录安洲码头、新长江码头、国电码头、建滔码头改造升级。</w:t>
            </w:r>
          </w:p>
          <w:p>
            <w:pPr>
              <w:spacing w:line="440" w:lineRule="exact"/>
              <w:ind w:firstLine="560" w:firstLineChars="200"/>
              <w:rPr>
                <w:rFonts w:eastAsia="方正仿宋_GBK"/>
                <w:bCs/>
                <w:sz w:val="28"/>
                <w:szCs w:val="28"/>
              </w:rPr>
            </w:pPr>
            <w:r>
              <w:rPr>
                <w:rFonts w:eastAsia="方正仿宋_GBK"/>
                <w:bCs/>
                <w:sz w:val="28"/>
                <w:szCs w:val="28"/>
              </w:rPr>
              <w:t>高速公路：溧阳至宁德公路江苏段、苏锡常南部高速常州段、宁常高速西林至导墅段，丹金高速、金宜高速、靖澄常宜高速（S90南延）常州段，沪武及锡宜高速常州段改扩建、江宜高速常州北段局部拓宽、长深高速溧水至溧阳段扩建、沪蓉高速高铁新城段改建，常泰长江大桥常州段，长深高速溧阳水西互通，茅麓、江宜高速孟河镇小黄山、扬溧高速金坛茅山东、瓦屋山、前马互通及连接线等。</w:t>
            </w:r>
          </w:p>
          <w:p>
            <w:pPr>
              <w:spacing w:line="440" w:lineRule="exact"/>
              <w:ind w:firstLine="560" w:firstLineChars="200"/>
              <w:rPr>
                <w:rFonts w:eastAsia="方正仿宋_GBK"/>
                <w:bCs/>
                <w:sz w:val="28"/>
                <w:szCs w:val="28"/>
              </w:rPr>
            </w:pPr>
            <w:r>
              <w:rPr>
                <w:rFonts w:eastAsia="方正仿宋_GBK"/>
                <w:bCs/>
                <w:sz w:val="28"/>
                <w:szCs w:val="28"/>
              </w:rPr>
              <w:t>普通干线公路：青洋路二期工程，S232、G312、S239、S122、龙江路北延、溧阳至南沿江高铁金坛站快速通道、丹金溧快速路等快速化工程。S265溧阳段、S261常州段、S340武进牛塘至金坛开发区段、S341溧阳段、G104溧阳段、S240金坛段等新建和改线工程。S239溧阳南段、S456溧阳段、S357常州段、G233溧阳段、老常金线、S340武进东段、S238腾龙路段等改扩建工程。沪蓉高速公路青龙互通至焦溪古镇连接线（工业大道）、邹区农业产业园至江宜高速邹区互通连接工程（振中路及跨大运河桥）等连接线工程。</w:t>
            </w:r>
          </w:p>
          <w:p>
            <w:pPr>
              <w:spacing w:line="440" w:lineRule="exact"/>
              <w:ind w:firstLine="560" w:firstLineChars="200"/>
              <w:rPr>
                <w:rFonts w:eastAsia="方正仿宋_GBK"/>
                <w:bCs/>
                <w:sz w:val="28"/>
                <w:szCs w:val="28"/>
              </w:rPr>
            </w:pPr>
            <w:r>
              <w:rPr>
                <w:rFonts w:eastAsia="方正仿宋_GBK"/>
                <w:bCs/>
                <w:sz w:val="28"/>
                <w:szCs w:val="28"/>
              </w:rPr>
              <w:t>民航：常州新北、常州武进、常州金坛、常州经开区通用机场，常州国际机场航站区改扩建工程等。</w:t>
            </w:r>
          </w:p>
          <w:p>
            <w:pPr>
              <w:spacing w:line="440" w:lineRule="exact"/>
              <w:ind w:firstLine="560" w:firstLineChars="200"/>
              <w:rPr>
                <w:rFonts w:eastAsia="方正仿宋_GBK"/>
                <w:bCs/>
                <w:sz w:val="28"/>
                <w:szCs w:val="28"/>
              </w:rPr>
            </w:pPr>
            <w:r>
              <w:rPr>
                <w:rFonts w:eastAsia="方正仿宋_GBK"/>
                <w:bCs/>
                <w:sz w:val="28"/>
                <w:szCs w:val="28"/>
              </w:rPr>
              <w:t>综合客运枢纽：南沿江城际铁路金坛站、南沿江城际铁路武进站、常泰铁路常州西站、盐泰锡常宜铁路常州南站、连镇铁路南延溧阳北站、奔牛机场综合枢纽、京沪高铁常州北站综合枢纽等；宁杭高铁溧阳站综合客运枢纽。</w:t>
            </w:r>
          </w:p>
          <w:p>
            <w:pPr>
              <w:spacing w:line="440" w:lineRule="exact"/>
              <w:ind w:firstLine="560" w:firstLineChars="200"/>
              <w:rPr>
                <w:rFonts w:hint="eastAsia" w:eastAsia="方正仿宋_GBK"/>
                <w:bCs/>
                <w:sz w:val="28"/>
                <w:szCs w:val="28"/>
              </w:rPr>
            </w:pPr>
            <w:r>
              <w:rPr>
                <w:rFonts w:eastAsia="方正仿宋_GBK"/>
                <w:bCs/>
                <w:sz w:val="28"/>
                <w:szCs w:val="28"/>
              </w:rPr>
              <w:t>综合货运枢纽：常州机场保税仓库和国际快件监管中心、常州奔牛铁路货运物流基地、滨江铁路物流基地、戚墅堰货场环保配套工程等。</w:t>
            </w:r>
          </w:p>
          <w:p>
            <w:pPr>
              <w:spacing w:line="440" w:lineRule="exact"/>
              <w:ind w:firstLine="560" w:firstLineChars="200"/>
              <w:rPr>
                <w:rFonts w:eastAsia="方正仿宋_GBK"/>
                <w:bCs/>
                <w:sz w:val="28"/>
                <w:szCs w:val="28"/>
              </w:rPr>
            </w:pPr>
          </w:p>
        </w:tc>
      </w:tr>
      <w:bookmarkEnd w:id="55"/>
      <w:bookmarkEnd w:id="58"/>
    </w:tbl>
    <w:p>
      <w:pPr>
        <w:spacing w:after="240" w:line="580" w:lineRule="exact"/>
        <w:jc w:val="center"/>
        <w:rPr>
          <w:rFonts w:ascii="方正黑体_GBK" w:eastAsia="方正黑体_GBK"/>
          <w:sz w:val="32"/>
          <w:szCs w:val="32"/>
        </w:rPr>
      </w:pPr>
      <w:bookmarkStart w:id="63" w:name="_Toc55403971"/>
      <w:bookmarkStart w:id="64" w:name="_Toc58576652"/>
      <w:r>
        <w:rPr>
          <w:rFonts w:ascii="方正黑体_GBK" w:eastAsia="方正黑体_GBK"/>
          <w:sz w:val="32"/>
          <w:szCs w:val="32"/>
        </w:rPr>
        <w:t>第八章</w:t>
      </w:r>
      <w:r>
        <w:rPr>
          <w:rFonts w:hint="eastAsia" w:ascii="方正黑体_GBK" w:eastAsia="方正黑体_GBK"/>
          <w:sz w:val="32"/>
          <w:szCs w:val="32"/>
        </w:rPr>
        <w:t xml:space="preserve">  </w:t>
      </w:r>
      <w:r>
        <w:rPr>
          <w:rFonts w:ascii="方正黑体_GBK" w:eastAsia="方正黑体_GBK"/>
          <w:sz w:val="32"/>
          <w:szCs w:val="32"/>
        </w:rPr>
        <w:t>提升中心城市能级</w:t>
      </w:r>
      <w:bookmarkEnd w:id="63"/>
      <w:bookmarkEnd w:id="64"/>
    </w:p>
    <w:p>
      <w:pPr>
        <w:spacing w:line="600" w:lineRule="exact"/>
        <w:ind w:firstLine="640" w:firstLineChars="200"/>
        <w:rPr>
          <w:rFonts w:eastAsia="方正仿宋_GBK"/>
          <w:sz w:val="32"/>
          <w:szCs w:val="32"/>
        </w:rPr>
      </w:pPr>
      <w:r>
        <w:rPr>
          <w:rFonts w:eastAsia="方正仿宋_GBK"/>
          <w:sz w:val="32"/>
          <w:szCs w:val="32"/>
        </w:rPr>
        <w:t>坚持功能引领，聚力品质内涵，突出资源要素配置功能，加快城市服务经济集聚发展，精心塑造城市特色风貌，全面提升中轴枢纽城市发展质量与发展能级。</w:t>
      </w:r>
    </w:p>
    <w:p>
      <w:pPr>
        <w:spacing w:before="240" w:after="240" w:line="600" w:lineRule="exact"/>
        <w:jc w:val="center"/>
        <w:rPr>
          <w:rFonts w:ascii="方正楷体_GBK" w:eastAsia="方正楷体_GBK"/>
          <w:sz w:val="32"/>
          <w:szCs w:val="32"/>
        </w:rPr>
      </w:pPr>
      <w:bookmarkStart w:id="65" w:name="_Toc58576653"/>
      <w:bookmarkStart w:id="66" w:name="_Toc55403972"/>
      <w:r>
        <w:rPr>
          <w:rFonts w:ascii="方正楷体_GBK" w:eastAsia="方正楷体_GBK"/>
          <w:sz w:val="32"/>
          <w:szCs w:val="32"/>
        </w:rPr>
        <w:t>第一节</w:t>
      </w:r>
      <w:r>
        <w:rPr>
          <w:rFonts w:hint="eastAsia" w:ascii="方正楷体_GBK" w:eastAsia="方正楷体_GBK"/>
          <w:sz w:val="32"/>
          <w:szCs w:val="32"/>
        </w:rPr>
        <w:t xml:space="preserve">  </w:t>
      </w:r>
      <w:r>
        <w:rPr>
          <w:rFonts w:ascii="方正楷体_GBK" w:eastAsia="方正楷体_GBK"/>
          <w:sz w:val="32"/>
          <w:szCs w:val="32"/>
        </w:rPr>
        <w:t>发展壮大城市经济</w:t>
      </w:r>
      <w:bookmarkEnd w:id="65"/>
      <w:bookmarkEnd w:id="66"/>
    </w:p>
    <w:p>
      <w:pPr>
        <w:spacing w:line="600" w:lineRule="exact"/>
        <w:ind w:firstLine="640" w:firstLineChars="200"/>
        <w:rPr>
          <w:rFonts w:eastAsia="方正仿宋_GBK"/>
          <w:sz w:val="32"/>
          <w:szCs w:val="32"/>
        </w:rPr>
      </w:pPr>
      <w:r>
        <w:rPr>
          <w:rFonts w:eastAsia="方正仿宋_GBK"/>
          <w:sz w:val="32"/>
          <w:szCs w:val="32"/>
        </w:rPr>
        <w:t>打造总部经济集聚高地。坚持引育并举，加大世界500强、中国500强和行业领军企业综合性、功能性、地区性总部招引力度，鼓励现有总部企业通过资本运营、并购重组、增资扩产等方式做大做强，大力培育一批本土总部企业。支持行业龙头企业建设总部基地，推动总部经济集聚区建设，争创省外资总部经济集聚区。</w:t>
      </w:r>
    </w:p>
    <w:p>
      <w:pPr>
        <w:spacing w:line="600" w:lineRule="exact"/>
        <w:ind w:firstLine="640" w:firstLineChars="200"/>
        <w:rPr>
          <w:rFonts w:eastAsia="方正仿宋_GBK"/>
          <w:sz w:val="32"/>
          <w:szCs w:val="32"/>
        </w:rPr>
      </w:pPr>
      <w:r>
        <w:rPr>
          <w:rFonts w:eastAsia="方正仿宋_GBK"/>
          <w:sz w:val="32"/>
          <w:szCs w:val="32"/>
        </w:rPr>
        <w:t>大力发展新楼宇经济。高标准推进“新楼宇经济”，在交通便捷、人口密集、产业集聚区域，新建一批容量大、设施先进、功能齐全的现代商务楼宇，强化楼宇产业定位，突出产业集合和产业链建设，集聚科研型企业、生产性服务业、总部经济等高级经济形态，培育发展一批金融楼、商贸楼、信息楼等特色楼宇。重点推进高铁新城、新北人工智能科创港、武进湖塘-牛塘等重点区域特色楼宇群建设，打造长三角一流的区域总部和楼宇经济集群。</w:t>
      </w:r>
    </w:p>
    <w:p>
      <w:pPr>
        <w:spacing w:line="570" w:lineRule="exact"/>
        <w:ind w:firstLine="640" w:firstLineChars="200"/>
        <w:rPr>
          <w:rFonts w:eastAsia="方正仿宋_GBK"/>
          <w:sz w:val="32"/>
          <w:szCs w:val="32"/>
        </w:rPr>
      </w:pPr>
      <w:r>
        <w:rPr>
          <w:rFonts w:eastAsia="方正仿宋_GBK"/>
          <w:sz w:val="32"/>
          <w:szCs w:val="32"/>
        </w:rPr>
        <w:t>加速发展会展经济。积极引进会展资源，支持本地会展企业发展，组建专业会展管理公司。强化会展业与制造业及文化、旅游、体育等产业融合发展，推进“互联网+展览”，做强做优世界工业和能源互联网博览会、中国常州科技经贸洽谈会、中国（常州）国际动漫艺术周、中国常州国际运动康复大会等专业展会，培育国内外知名专业会展品牌。加快建设高铁新城国际会展中心、曹山未来城国际会议中心、金坛茅山国际会议交流中心等展馆设施，高水平打造集展览会议、展示推介、经贸洽谈、文化交流于一体的高端会展平台。</w:t>
      </w:r>
    </w:p>
    <w:p>
      <w:pPr>
        <w:spacing w:line="570" w:lineRule="exact"/>
        <w:ind w:firstLine="640" w:firstLineChars="200"/>
        <w:rPr>
          <w:rFonts w:eastAsia="方正仿宋_GBK"/>
          <w:sz w:val="32"/>
          <w:szCs w:val="32"/>
        </w:rPr>
      </w:pPr>
      <w:r>
        <w:rPr>
          <w:rFonts w:eastAsia="方正仿宋_GBK"/>
          <w:sz w:val="32"/>
          <w:szCs w:val="32"/>
        </w:rPr>
        <w:t>积极发展共享经济。聚焦生产服务模式创新，鼓励众创众包众扶众筹，重点推进办公空间、生产线、测试线、研发中心等创新资源共享和专利技术成果、知识技能服务、人力资本服务、研发设计等创新能力共享。聚焦流通服务模式创新，重点推进智慧仓储物流、现代交通运输等流通资源共享。聚焦消费服务模式创新，重点推进家居家政、饮食出行、体育健康、文化娱乐、闲置物品、剩余时间等消费资源共享。</w:t>
      </w:r>
    </w:p>
    <w:p>
      <w:pPr>
        <w:spacing w:line="570" w:lineRule="exact"/>
        <w:ind w:firstLine="640" w:firstLineChars="200"/>
        <w:rPr>
          <w:rFonts w:eastAsia="方正仿宋_GBK"/>
          <w:sz w:val="32"/>
          <w:szCs w:val="32"/>
        </w:rPr>
      </w:pPr>
      <w:r>
        <w:rPr>
          <w:rFonts w:eastAsia="方正仿宋_GBK"/>
          <w:sz w:val="32"/>
          <w:szCs w:val="32"/>
        </w:rPr>
        <w:t>发展壮大高品质消费经济。推动生活性服务业向精细化高品质转变，以新业态新模式引领新型消费加快发展。打造高铁新城品质生活中心，依托江南环球港建设超级商业航母，构建一站式智慧服务体系，开启品质都市的全新生活方式。统筹推进老城厢改造升级，加快集聚国际品牌、高端产业，打造南北大街</w:t>
      </w:r>
      <w:r>
        <w:rPr>
          <w:rFonts w:hint="eastAsia" w:eastAsia="方正仿宋_GBK"/>
          <w:sz w:val="32"/>
          <w:szCs w:val="32"/>
        </w:rPr>
        <w:t>—</w:t>
      </w:r>
      <w:r>
        <w:rPr>
          <w:rFonts w:eastAsia="方正仿宋_GBK"/>
          <w:sz w:val="32"/>
          <w:szCs w:val="32"/>
        </w:rPr>
        <w:t>文化宫百亿商圈。扩大社会服务有效供给，提高居民服务质量，大力发展教育培训、健康服务、家政服务等生活性服务业。</w:t>
      </w:r>
    </w:p>
    <w:p>
      <w:pPr>
        <w:spacing w:before="240" w:after="240" w:line="580" w:lineRule="exact"/>
        <w:jc w:val="center"/>
        <w:rPr>
          <w:rFonts w:ascii="方正楷体_GBK" w:eastAsia="方正楷体_GBK"/>
          <w:sz w:val="32"/>
          <w:szCs w:val="32"/>
        </w:rPr>
      </w:pPr>
      <w:bookmarkStart w:id="67" w:name="_Toc58576654"/>
      <w:bookmarkStart w:id="68" w:name="_Toc55403974"/>
      <w:bookmarkStart w:id="69" w:name="_Toc55403973"/>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建设长三角现代物流</w:t>
      </w:r>
      <w:bookmarkEnd w:id="67"/>
      <w:r>
        <w:rPr>
          <w:rFonts w:hint="eastAsia" w:ascii="方正楷体_GBK" w:eastAsia="方正楷体_GBK"/>
          <w:sz w:val="32"/>
          <w:szCs w:val="32"/>
        </w:rPr>
        <w:t>中心</w:t>
      </w:r>
    </w:p>
    <w:p>
      <w:pPr>
        <w:spacing w:line="560" w:lineRule="exact"/>
        <w:ind w:firstLine="640" w:firstLineChars="200"/>
        <w:rPr>
          <w:rFonts w:eastAsia="方正仿宋_GBK"/>
          <w:sz w:val="32"/>
          <w:szCs w:val="32"/>
        </w:rPr>
      </w:pPr>
      <w:r>
        <w:rPr>
          <w:rFonts w:eastAsia="方正仿宋_GBK"/>
          <w:sz w:val="32"/>
          <w:szCs w:val="32"/>
        </w:rPr>
        <w:t>创建国家物流枢纽城市。完善现代流通体系，建设长江中下游多式联运综合物流中心、江苏物流业与制造业融合示范区、长三角双循环物流重要支撑节点、长三角中轴物流枢纽城市。以打造枢纽节点、畅通物流通道、完善物流网络为核心，重点建设综合港务区、武南物流园、金坛公路港物流园、溧阳中关村港口物流园、钟楼现代物流园，形成“物流枢纽+物流园区（中心）+配送中心+末端网点（配送站）”的四级物流网络，推进凌家塘市场现代化升级，提升凌家塘、邹区灯具城、夏溪花木市场等全国性专业大市场发展水平，支持钟楼创建国家级骨干冷链物流基地。强化物资区域中转集散能力，加强与长江流域中上游及内河港口的合作，支持企业开通常州港—洋山港“陆改水”集装箱运输和常州—洋山港“海铁班列”集装箱运输模式，提升物流枢纽服务能级。以智慧物流为主攻方向，加强物流主体的培育和引进，扩大物流服务供给，大力发展冷链、电商、供应链等新物流业态，提升物流服务能级。深入实施物流业提质增效行动，促进流通服务转型发展，探索建立覆盖重点产业的智慧供应链体系，培育一批全国领先的供应链创新与应用示范企业。到2025年</w:t>
      </w:r>
      <w:r>
        <w:rPr>
          <w:rFonts w:hint="eastAsia" w:eastAsia="方正仿宋_GBK"/>
          <w:sz w:val="32"/>
          <w:szCs w:val="32"/>
        </w:rPr>
        <w:t>，</w:t>
      </w:r>
      <w:r>
        <w:rPr>
          <w:rFonts w:eastAsia="方正仿宋_GBK"/>
          <w:sz w:val="32"/>
          <w:szCs w:val="32"/>
        </w:rPr>
        <w:t>全社会物流总费用占GDP的比率降至13%以下。</w:t>
      </w:r>
    </w:p>
    <w:p>
      <w:pPr>
        <w:spacing w:line="560" w:lineRule="exact"/>
        <w:ind w:firstLine="640" w:firstLineChars="200"/>
        <w:rPr>
          <w:rFonts w:eastAsia="方正仿宋_GBK"/>
          <w:sz w:val="32"/>
          <w:szCs w:val="32"/>
        </w:rPr>
      </w:pPr>
      <w:r>
        <w:rPr>
          <w:rFonts w:eastAsia="方正仿宋_GBK"/>
          <w:sz w:val="32"/>
          <w:szCs w:val="32"/>
        </w:rPr>
        <w:t>打造上海港苏南（常州）集装箱集散中心。综合提升奔牛站，建设内陆集装箱集散中心，联动上海港统筹布局集装箱办理站、还箱点和保税监管中心，整合调度集拼储运功能，扩展上海港集装箱腹地，服务上海国际航运中心集装箱枢纽港建设。优化提升常州东站，建设精品集散中心。</w:t>
      </w:r>
    </w:p>
    <w:p>
      <w:pPr>
        <w:spacing w:line="540" w:lineRule="exact"/>
        <w:ind w:firstLine="640" w:firstLineChars="200"/>
        <w:rPr>
          <w:rFonts w:eastAsia="方正仿宋_GBK"/>
          <w:sz w:val="32"/>
          <w:szCs w:val="32"/>
        </w:rPr>
      </w:pPr>
      <w:r>
        <w:rPr>
          <w:rFonts w:eastAsia="方正仿宋_GBK"/>
          <w:sz w:val="32"/>
          <w:szCs w:val="32"/>
        </w:rPr>
        <w:t>塑造枢纽型经济新品牌。依托港口、机场和高铁站点等综合交通枢纽，布局智能装备制造、新材料、科技创新、文化创意和生态休闲旅游等产业，打造交通枢纽偏好型产业集聚区。创新枢纽运营模式，强化交通枢纽物流、商贸、生产、金融等增值服务功能，着力打造集传统贸易、电商物流、生产加工、资金交割、城市服务于一体的现代综合服务平台。充分利用物联网、大数据、遥感等新一代信息技术，创新“互联网+”交通枢纽新模式，建立智慧交通产业支撑服务平台。</w:t>
      </w:r>
    </w:p>
    <w:p>
      <w:pPr>
        <w:spacing w:before="240" w:after="240" w:line="560" w:lineRule="exact"/>
        <w:jc w:val="center"/>
        <w:rPr>
          <w:rFonts w:ascii="方正楷体_GBK" w:eastAsia="方正楷体_GBK"/>
          <w:sz w:val="32"/>
          <w:szCs w:val="32"/>
        </w:rPr>
      </w:pPr>
      <w:bookmarkStart w:id="70" w:name="_Toc58576655"/>
      <w:r>
        <w:rPr>
          <w:rFonts w:ascii="方正楷体_GBK" w:eastAsia="方正楷体_GBK"/>
          <w:sz w:val="32"/>
          <w:szCs w:val="32"/>
        </w:rPr>
        <w:t>第三节  提升完善城市综合功能</w:t>
      </w:r>
      <w:bookmarkEnd w:id="68"/>
      <w:bookmarkEnd w:id="70"/>
    </w:p>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增强城市国际化服务功能。加大国际医疗、教育资源有效供给，引进国际知名医疗、教育机构，在武进、新北等重点区域建成1-2所国际医院、国际学校。探索国际社区管理模式，打造一批高品质国际化生活街区、居住社区和邻里中心。培育面向境外投资和跨国经营的中介服务机构和中介组织，完善财税、金融、法律、知识产权、商务咨询等涉外专业服务体系，规划建设一批国际化商务载体。完善多语种服务，实施公共场所国际化标识改造工程，推出双语便民服务网络终端，为外籍人士提供便捷优质公共服务。</w:t>
      </w:r>
    </w:p>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提升城市交通出行品质。构建以轨道交通为骨干、BRT等中运量公交系统为辅助、常规公交为基础、共享交通等其他公共交通为补充的多层次、多模式绿色出行体系，创建国家绿色出行城市。完善市域轨道交通网络骨架，推进实施轨道交通1号线南北延线、2号线东西延线、5号线、6号线一期等工程。推广公交场站综合开发模式，推动公共自行车与轨道交通、地面公交有机衔接。促进交通系统智能化发展，全面提升“常州·行”智能出行服务功能。</w:t>
      </w:r>
    </w:p>
    <w:p>
      <w:pPr>
        <w:adjustRightInd w:val="0"/>
        <w:snapToGrid w:val="0"/>
        <w:spacing w:line="570" w:lineRule="exact"/>
        <w:ind w:firstLine="640" w:firstLineChars="200"/>
        <w:rPr>
          <w:rFonts w:eastAsia="方正仿宋_GBK"/>
          <w:snapToGrid w:val="0"/>
          <w:kern w:val="0"/>
          <w:sz w:val="32"/>
          <w:szCs w:val="32"/>
        </w:rPr>
      </w:pPr>
      <w:bookmarkStart w:id="71" w:name="_Toc55403969"/>
      <w:r>
        <w:rPr>
          <w:rFonts w:eastAsia="方正仿宋_GBK"/>
          <w:bCs/>
          <w:snapToGrid w:val="0"/>
          <w:kern w:val="0"/>
          <w:sz w:val="32"/>
          <w:szCs w:val="32"/>
        </w:rPr>
        <w:t>完善能源基础设施体系</w:t>
      </w:r>
      <w:bookmarkEnd w:id="71"/>
      <w:r>
        <w:rPr>
          <w:rFonts w:eastAsia="方正仿宋_GBK"/>
          <w:bCs/>
          <w:snapToGrid w:val="0"/>
          <w:kern w:val="0"/>
          <w:sz w:val="32"/>
          <w:szCs w:val="32"/>
        </w:rPr>
        <w:t>。</w:t>
      </w:r>
      <w:r>
        <w:rPr>
          <w:rFonts w:eastAsia="方正仿宋_GBK"/>
          <w:snapToGrid w:val="0"/>
          <w:kern w:val="0"/>
          <w:sz w:val="32"/>
          <w:szCs w:val="32"/>
        </w:rPr>
        <w:t>加强智能电网建设，完善电网主干网架和跨区调控系统。依托金坛储气库群，完善天然气输储体系和输配管网。推动光伏、风电等可再生能源与储能系统耦合发展，推进生活垃圾焚烧发电厂规划建设，适度超前布局充电基础设施。鼓励区域集中供热（冷）和能源梯级利用。加快氢能产业发展，支持燃料电池汽车推广。构建智慧能源系统，建设“源—网—荷—储”协调发展、集成互补的能源互联网，推进“能源+大数据”“能源+区块链”“能源+分布式交易”等场景应用，打造一批能源互联网平台。推进高铁新城创建城市能源互联网示范区，实施智慧能源网、移动能源网示范项目建设，打造全绿色能源供应体系。培育能源新技术新业态，推动光伏企业向能源管理服务商转型，支持天合光能等打造全球领先的智慧能源和能源互联网平台。</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专栏8-1</w:t>
            </w:r>
            <w:r>
              <w:rPr>
                <w:rFonts w:hint="eastAsia" w:eastAsia="方正仿宋_GBK"/>
                <w:snapToGrid w:val="0"/>
                <w:kern w:val="0"/>
                <w:sz w:val="28"/>
                <w:szCs w:val="28"/>
              </w:rPr>
              <w:t xml:space="preserve">  </w:t>
            </w:r>
            <w:r>
              <w:rPr>
                <w:rFonts w:eastAsia="方正仿宋_GBK"/>
                <w:snapToGrid w:val="0"/>
                <w:kern w:val="0"/>
                <w:sz w:val="28"/>
                <w:szCs w:val="28"/>
              </w:rPr>
              <w:t>综合能源基础设施建设重点工程（项目）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江苏常州官塘等110千伏输变电工程、天目变搬迁（含高压管廊及高压线迁改）、盐穴压缩空气储能发电系统、华电常州东部燃机项目、大唐金坛重型燃机、大唐（溧阳）重型燃机、天然气分布式能源、开迈斯新能源车联网创新中心、江苏省新能源汽车能源与信息创新中心、国电常州发电公司燃气发电机组项目、中天北厂区30MW燃煤背压机组项目、国家能源集团常州煤炭交易中心及储备物流基地项目、西气东输及成品油改线工程、高铁新城区域能源站。</w:t>
            </w:r>
          </w:p>
        </w:tc>
      </w:tr>
    </w:tbl>
    <w:p>
      <w:pPr>
        <w:adjustRightInd w:val="0"/>
        <w:snapToGrid w:val="0"/>
        <w:spacing w:line="570" w:lineRule="exact"/>
        <w:ind w:firstLine="640" w:firstLineChars="200"/>
        <w:rPr>
          <w:rFonts w:eastAsia="方正仿宋_GBK"/>
          <w:snapToGrid w:val="0"/>
          <w:kern w:val="0"/>
          <w:sz w:val="32"/>
          <w:szCs w:val="32"/>
        </w:rPr>
      </w:pPr>
      <w:bookmarkStart w:id="72" w:name="_Toc55403970"/>
      <w:r>
        <w:rPr>
          <w:rFonts w:eastAsia="方正仿宋_GBK"/>
          <w:bCs/>
          <w:snapToGrid w:val="0"/>
          <w:kern w:val="0"/>
          <w:sz w:val="32"/>
          <w:szCs w:val="32"/>
        </w:rPr>
        <w:t>提高现代水利支撑保障能力</w:t>
      </w:r>
      <w:bookmarkEnd w:id="72"/>
      <w:r>
        <w:rPr>
          <w:rFonts w:eastAsia="方正仿宋_GBK"/>
          <w:bCs/>
          <w:snapToGrid w:val="0"/>
          <w:kern w:val="0"/>
          <w:sz w:val="32"/>
          <w:szCs w:val="32"/>
        </w:rPr>
        <w:t>。</w:t>
      </w:r>
      <w:r>
        <w:rPr>
          <w:rFonts w:eastAsia="方正仿宋_GBK"/>
          <w:snapToGrid w:val="0"/>
          <w:kern w:val="0"/>
          <w:sz w:val="32"/>
          <w:szCs w:val="32"/>
        </w:rPr>
        <w:t>加强防洪排涝减灾能力建设，加大河湖堤防工程除险加固和达标建设力度，实施长江堤防能力提升工程、大运河（运北片）堤防达标工程建设，加强武南地区、滆湖及长荡湖周边易淹易涝片区治理。推进城市水系连通与河道综合整治，强化城市内部排水系统和滞蓄能力建设，持续推进海绵城市建设。完善水资源支撑保障体系，加强重点区域抗旱应急水源工程建设，实施灌区改造、雨洪资源利用等节水涵水工程。实施优质饮用水入户工程，全面实现城乡供水一体化入户全覆盖。加强供水应急与节约用水管理，实施应急备用水源地建设工程。提高集中式饮用水水源地安全保障水平，深入开展长荡湖、滆湖水源地治理。加快智慧水利建设。</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专栏8-2</w:t>
            </w:r>
            <w:r>
              <w:rPr>
                <w:rFonts w:hint="eastAsia" w:eastAsia="方正仿宋_GBK"/>
                <w:snapToGrid w:val="0"/>
                <w:kern w:val="0"/>
                <w:sz w:val="28"/>
                <w:szCs w:val="28"/>
              </w:rPr>
              <w:t xml:space="preserve">  </w:t>
            </w:r>
            <w:r>
              <w:rPr>
                <w:rFonts w:eastAsia="方正仿宋_GBK"/>
                <w:snapToGrid w:val="0"/>
                <w:kern w:val="0"/>
                <w:sz w:val="28"/>
                <w:szCs w:val="28"/>
              </w:rPr>
              <w:t>现代水利基础设施建设重点工程</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长荡湖水厂新孟河取水工程（新孟河水厂一期工程）、德胜河外江段河道整治工程、老桃花港港堤防洪能力提升工程、扁担河整治工程、大运河（运北片）堤防达标建设工程、市区河道驳岸整修工程和市区水系连通与河道综合整治工程、溧阳中河、北河整治工程。</w:t>
            </w:r>
          </w:p>
        </w:tc>
      </w:tr>
    </w:tbl>
    <w:p>
      <w:pPr>
        <w:spacing w:before="240" w:after="240" w:line="560" w:lineRule="exact"/>
        <w:jc w:val="center"/>
        <w:rPr>
          <w:rFonts w:ascii="方正楷体_GBK" w:eastAsia="方正楷体_GBK"/>
          <w:sz w:val="32"/>
          <w:szCs w:val="32"/>
        </w:rPr>
      </w:pPr>
      <w:bookmarkStart w:id="73" w:name="_Toc58576656"/>
      <w:r>
        <w:rPr>
          <w:rFonts w:ascii="方正楷体_GBK" w:eastAsia="方正楷体_GBK"/>
          <w:sz w:val="32"/>
          <w:szCs w:val="32"/>
        </w:rPr>
        <w:t>第四节  提升城市建设管理水平</w:t>
      </w:r>
      <w:bookmarkEnd w:id="69"/>
      <w:bookmarkEnd w:id="73"/>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有序推进城市有机更新。高质量实施《常州市城市更新与土地整备规划》，坚持分区分类分步，综合统筹片区承载能力，以老城厢为核，突出运河、城市主干道、轨道交通等沿线区域和重要节点，统筹推进老旧小区（棚户区）、旧工业园区、旧城镇集聚区、交通轴线、文化遗存与生态系统更新，推动城市有机有序更新与生态园林城市建设、TOD综合开发有机融合，探索“城市有机更新单元”划定管理，实施火车站周边、东货场片区等改造。鼓励居民、社会工商资本广泛参与城市有机更新，推进“共同缔造”试点。实施历史文化名城保护行动，实施一批历史文化街区（含地段）修缮工程。推进精美城市建设，围绕重点区域和重要节点，实现城市设计全覆盖，严格落实新开发地块管控要求，在轨道交通沿线、城市快速路沿线、滨水地区等打造靓美城市形象。</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专栏8-3</w:t>
            </w:r>
            <w:r>
              <w:rPr>
                <w:rFonts w:hint="eastAsia" w:eastAsia="方正仿宋_GBK"/>
                <w:snapToGrid w:val="0"/>
                <w:kern w:val="0"/>
                <w:sz w:val="28"/>
                <w:szCs w:val="28"/>
              </w:rPr>
              <w:t xml:space="preserve">  </w:t>
            </w:r>
            <w:r>
              <w:rPr>
                <w:rFonts w:eastAsia="方正仿宋_GBK"/>
                <w:snapToGrid w:val="0"/>
                <w:kern w:val="0"/>
                <w:sz w:val="28"/>
                <w:szCs w:val="28"/>
              </w:rPr>
              <w:t>城市有机更新重点工程（项目）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旧城（镇）改造：老城厢复兴发展三年行动项目，芦墅路西侧片区、新市路南侧西直街片区、火车站北广场中心城区会客厅、魏村老街综合提升工程、江苏中关村西/北片区旧城改造；</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老旧小区综合整治工程：实施昆仑东苑、金沙花园、华城二村、泰山一村、河海二村、丽华一村、丽宝第花苑、五角场东村、勤业四村（南区）、白云新村、清潭片区、机械新村片区、花园新村片区等老旧小区综合整治；</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bCs/>
                <w:snapToGrid w:val="0"/>
                <w:kern w:val="0"/>
                <w:sz w:val="28"/>
                <w:szCs w:val="28"/>
              </w:rPr>
              <w:t>“大板房”治理工程：红庙头大板房置换项目、董头村大板房置换项目、棕榈路以南月季路以东地块建设项目、钟楼“大板房”改造工程。</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升市政基础设施。实施市政基础设施提质创优工程，系统规划建设道路、环卫、电力、路灯、停车场、市政管养等各类市政设施。实施畅通工程，完善快速路主干道网络，提高城区次干道、支路网密度，加快打通断头路瓶颈路，规范提升交通安全设施。全面实施道路保洁机械化标准化作业，加强公厕改造提升与设施维护。优化道路、景观等照明设施，持续推进LED、新能源路灯改造，打造一批夜景照明精品工程。推进绿地广场、应急避难场所、停车场等系统布局和建设。合理规划城市地下空间，推进城市地下管网改造。</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专栏8-4</w:t>
            </w:r>
            <w:r>
              <w:rPr>
                <w:rFonts w:hint="eastAsia" w:eastAsia="方正仿宋_GBK"/>
                <w:snapToGrid w:val="0"/>
                <w:kern w:val="0"/>
                <w:sz w:val="28"/>
                <w:szCs w:val="28"/>
              </w:rPr>
              <w:t xml:space="preserve">  </w:t>
            </w:r>
            <w:r>
              <w:rPr>
                <w:rFonts w:eastAsia="方正仿宋_GBK"/>
                <w:snapToGrid w:val="0"/>
                <w:kern w:val="0"/>
                <w:sz w:val="28"/>
                <w:szCs w:val="28"/>
              </w:rPr>
              <w:t>市政基础设施重点工程（项目）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交通畅行三年行动（城市道路配套交通设施建设项目）、城市照明智慧物联网体系建设工程、老旧小区污水管道更新改造工程、天目湖生命康原区域市政管网建设工程、轨道交通2号线沿线市容环境综合整治二期工程、未来智慧城公共基础设施。</w:t>
            </w:r>
          </w:p>
        </w:tc>
      </w:tr>
    </w:tbl>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增强城市精细化智能化管理能力。坚持用“绣花功夫”加强城市管理，加强城市综合管理服务平台与常态化制度建设，完善城市长效综合管理考核机制，全面提升城市长效综合管理水平。深入开展市容综合整治行动，着力补齐市容管理短板，推进多源数据“一张网”共享，加快测绘地理信息事业发展，建立内容完善的城市管理基础数据库，打造智慧常州云，推进智慧城市建设。</w:t>
      </w:r>
    </w:p>
    <w:p>
      <w:pPr>
        <w:spacing w:before="240" w:after="240" w:line="550" w:lineRule="exact"/>
        <w:jc w:val="center"/>
        <w:rPr>
          <w:rFonts w:hint="eastAsia" w:ascii="方正黑体_GBK" w:eastAsia="方正黑体_GBK"/>
          <w:sz w:val="32"/>
          <w:szCs w:val="32"/>
        </w:rPr>
      </w:pPr>
      <w:bookmarkStart w:id="74" w:name="_Toc55403975"/>
      <w:bookmarkStart w:id="75" w:name="_Toc58576657"/>
      <w:r>
        <w:rPr>
          <w:rFonts w:hint="eastAsia" w:ascii="方正黑体_GBK" w:eastAsia="方正黑体_GBK"/>
          <w:sz w:val="32"/>
          <w:szCs w:val="32"/>
        </w:rPr>
        <w:t>第九章  构建市域城乡融合发展新格局</w:t>
      </w:r>
      <w:bookmarkEnd w:id="74"/>
      <w:bookmarkEnd w:id="75"/>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坚持市域统筹，聚焦人口经济与资源环境空间均衡发展，系统优化中心城市空间格局，加快推进常金同城化、常溧一体化，</w:t>
      </w:r>
      <w:r>
        <w:rPr>
          <w:rFonts w:eastAsia="方正仿宋_GBK"/>
          <w:snapToGrid w:val="0"/>
          <w:spacing w:val="-8"/>
          <w:kern w:val="0"/>
          <w:sz w:val="32"/>
          <w:szCs w:val="32"/>
        </w:rPr>
        <w:t>积极探索城乡融合发展新路径，全力塑造市域城乡融合发展新格局。</w:t>
      </w:r>
    </w:p>
    <w:p>
      <w:pPr>
        <w:spacing w:before="240" w:after="240" w:line="560" w:lineRule="exact"/>
        <w:jc w:val="center"/>
        <w:rPr>
          <w:rFonts w:hint="eastAsia" w:ascii="楷体_GB2312" w:eastAsia="楷体_GB2312"/>
          <w:sz w:val="32"/>
          <w:szCs w:val="32"/>
        </w:rPr>
      </w:pPr>
      <w:bookmarkStart w:id="76" w:name="_Toc55403976"/>
      <w:bookmarkStart w:id="77" w:name="_Toc58576658"/>
      <w:r>
        <w:rPr>
          <w:rFonts w:hint="eastAsia" w:ascii="楷体_GB2312" w:eastAsia="楷体_GB2312"/>
          <w:sz w:val="32"/>
          <w:szCs w:val="32"/>
        </w:rPr>
        <w:t>第一节  强化市域统筹联动发展</w:t>
      </w:r>
      <w:bookmarkEnd w:id="76"/>
      <w:bookmarkEnd w:id="77"/>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中心城区发展格局。加强城市空间战略研究和管理，科学划定城市功能分区，推动城市主中心扩容提质，加快天宁东扩、钟楼西进，推进天宁未来智慧城、钟楼新港融合发展示范区建设，加强新北、武进、经开区副中心建设，统筹谋划和推进资源要素配置、公共设施建设和生产力布局，全面提升中心城市首位度。全力推进老城厢复兴发展，构建老城厢与行政文化中心、东经120商务区等片区联动发展格局，加快建设功能性区块、标志性项目与地标性景观，打造辐射长三角中轴的城市核心区。支持新北加快建设高铁新城，金融商务中心、区域总部中心、国际会展中心、文旅体育中心、品质生活中心全面展现风貌。推动武进拥湖发展，高水平建设环滆湖片区，打造“生态滨湖区、现代智造城”。加快常州经开区“东大门”建设步伐，高质量创建国家级经济技术开发区，打造城市东部综合功能核心和高能级产业平台。</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专栏9-1</w:t>
            </w:r>
            <w:r>
              <w:rPr>
                <w:rFonts w:hint="eastAsia" w:eastAsia="方正仿宋_GBK"/>
                <w:snapToGrid w:val="0"/>
                <w:kern w:val="0"/>
                <w:sz w:val="28"/>
                <w:szCs w:val="28"/>
              </w:rPr>
              <w:t xml:space="preserve">  </w:t>
            </w:r>
            <w:r>
              <w:rPr>
                <w:rFonts w:eastAsia="方正仿宋_GBK"/>
                <w:snapToGrid w:val="0"/>
                <w:kern w:val="0"/>
                <w:sz w:val="28"/>
                <w:szCs w:val="28"/>
              </w:rPr>
              <w:t>城市重要空间功能板块规划建设引导</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老城厢：充分挖掘中心城区深厚历史文化底蕴和丰富旅游资源，实施老城厢老旧小区全覆盖改造工程，构建“老运河—关河水上环线”“青果巷—西瀛里历史文脉轴”“文化宫—南大街核心商圈轴”“天宁寺—江南商场延陵景观轴”为核心的老城厢新格局，全面焕新“风貌街巷”，建设彰显千年运河繁华盛景的文化景观长廊，积极争创国家5A级景区，打造成为常州“第一商圈”“城市会客厅”和城市文旅新地标；</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高铁新城：全力打造城市新中心、中轴新支点、产业新高地和智慧生态城，构建“两轴三心、南厅北苑”的总体空间布局，建成国际会议会展中心、国际人才广场、国际网球赛事中心、国际足球赛事中心、文化展演中心等重点载体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snapToGrid w:val="0"/>
                <w:kern w:val="0"/>
                <w:sz w:val="28"/>
                <w:szCs w:val="28"/>
              </w:rPr>
              <w:t>常州经开区：以早日创成国家级经济技术开发区为目标，加快3平方公里中央商务区、10平方公里特色功能区建设，实施高层次开发开放和高标准生态建设，建设先进制造业集聚区、产城融合样板区、生态宜居示范区、改革创新引领区。</w:t>
            </w:r>
          </w:p>
        </w:tc>
      </w:tr>
    </w:tbl>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推进常金同城化发展。推进滆湖—长荡湖区域联动发展，将金坛建设成为城市西部副中心。规划建设中德（常州）生态绿色城，打造高品质设计、教育、医疗和居住新片区。构筑常金一体快速路主骨架，打造常金同城化公交网络，推进常金快速路建设、常州至金坛至句容都市圈连接线建设，规划常州地铁7号线西延至金坛高铁枢纽。加快建设中德（常州）创新产业园，重点围绕智能装备制造、新能源、汽车核心零部件等产业，加大德国企业招引力度，打造对德合作平台、苏南国际合作示范区。深化民生事业融合发展，加快河海大学新校区建设，支持中心城区优质中小学（幼儿园）、三级甲等医院到金坛举办、承办和领办新校（园）、新院。缩小社会保障差距，推进医疗保险联网结算，扩大金坛医保参保人员在常州市范围内的定点医疗机构范围，探索远程医疗合作新模式。</w:t>
      </w:r>
    </w:p>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加快常溧一体化进程。推动交通基础设施一体化规划与统筹建设，推进常州至溧阳至溧水都市圈连接线、常溧高速“四改六”规划研究，推进常溧通道（S239）快速化改造，加快溧阳与南沿江城际铁路快速联通，建设丹金溧快速路，推进溧宁高速江苏段续建工程；积极发展城市通勤车、定制班车、铁路枢纽衔接班线等新型服务业态，构建方便快捷的区域公共交通体系。推进常溧医疗、教育与社会保障等基本公共服务便利共享，加快常州城区优质公共服务向溧阳延伸，开展教学常态化交流互动，开展“名师工作室”“名校长”“名教师”送培活动，推动成立教育联盟；推进建设专科共建型医联体、县域医共体，依托国家健康医疗大数据运营中心（溧阳中心）大力探索“互联网+医疗”；加快推进医疗卫生信息管理平台建设，完善信息系统衔接，稳步推进基本医保和生育保险常州市级统筹。</w:t>
      </w:r>
    </w:p>
    <w:p>
      <w:pPr>
        <w:spacing w:before="240" w:after="240" w:line="550" w:lineRule="exact"/>
        <w:jc w:val="center"/>
        <w:rPr>
          <w:rFonts w:hint="eastAsia" w:ascii="方正楷体_GBK" w:eastAsia="方正楷体_GBK"/>
          <w:sz w:val="32"/>
          <w:szCs w:val="32"/>
        </w:rPr>
      </w:pPr>
      <w:bookmarkStart w:id="78" w:name="_Toc55403977"/>
      <w:bookmarkStart w:id="79" w:name="_Toc58576659"/>
      <w:r>
        <w:rPr>
          <w:rFonts w:hint="eastAsia" w:ascii="方正楷体_GBK" w:eastAsia="方正楷体_GBK"/>
          <w:sz w:val="32"/>
          <w:szCs w:val="32"/>
        </w:rPr>
        <w:t>第二节  全面推进</w:t>
      </w:r>
      <w:bookmarkEnd w:id="78"/>
      <w:r>
        <w:rPr>
          <w:rFonts w:hint="eastAsia" w:ascii="方正楷体_GBK" w:eastAsia="方正楷体_GBK"/>
          <w:sz w:val="32"/>
          <w:szCs w:val="32"/>
        </w:rPr>
        <w:t>乡村振兴</w:t>
      </w:r>
      <w:bookmarkEnd w:id="7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现代化新农村。优化镇村规划布局，推进“多规合一”实用性村庄规划编制，实现村庄规划管理全覆盖。统筹兼顾区域人口、经济、社会、文化、生态等发展要素，科学布局镇村生态、生产、生活空间，强化对镇村建设空间立体性、风貌整体性、文脉延续性的合理管控，推进“五区二十四点”市级美丽乡村示范项目建设，实现规划发展村“美丽宜居乡村”全覆盖，打造一批特色田园乡村，支持钟楼建设殷杏泰乡村振兴试验区。实施农村居民住房条件改善工程，全面提升农村居住品质，建成一批具有活力的新型农村社区。深入实施乡风文明提升工程，推进移风易俗行动，因地制宜培植乡村文化，广泛开展群众文化活动，持续办好农民丰收节，全面改善农民精神面貌。加强农村基层党组织建设，坚持和完善党组织领导的自治、法治、德治相结合的乡村治理体系，实现村级党群服务中心全覆盖。</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农业现代化发展。加强粮食功能区和重要农产品保护区长效管护，推进高标准农田、高标准蔬菜基地、高标准鱼池等建设，实施现代农业“310”提升行动，重点发展高效种植、设施园艺、规模养殖、特种水产等特色优势农业，培育一批现代农业园区、企业和品牌标杆，加强粮食和重要农副产品生产有效供给，强化粮食和“菜篮子”市场保供。推进乡村产业深度融合，积极发展农产品加工业、现代农业生产性服务业、休闲农业和乡村旅游，打造一批农村一二三产业融合平台、特色农产品优势区和农业产业强镇，支持武进、溧阳、新北国家农村产业融合发展先导区建设。注重高素质农民和新型农业经营主体培育，实施农民职业技能培育计划，开展家庭农场、农民专业合作社示范提质行动，做大做强农业产业化龙头企业，推进农业企业上市工作。积极发展智慧农业，完善农业科技创新体系，推进新一代信息技术、生物技术、智能技术、智慧气象与农业深度融合，加强农业种质资源保护和重大科技创新能力建设，支持金坛智慧渔场建设。积极发展生态农业，推动农业绿色生产，推动农业废弃物基本实现资源化利用，实施化肥农药减量增效行动。持续深化供销合作社综合改革，推动生产、供销、信用“三位一体”综合合作，建设服务农民生产生活的综合平台。</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专栏9-2  农业农村现代化重点工程</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农业现代化：国家农业科技园区、天宁现代农业产业示范园、凌家塘市场现代化建设项目、奔牛农业产业园、新北省级现代农业产业示范园、金坛黄金软米大农场、金坛智慧渔场、溧阳现代农业产业园、江苏苏浙皖冷链物流中心、黄天荡花卉科技产业园、钟楼现代农业产业示范园；</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农村现代化：新港综合发展先导示范区、新北美丽乡村建设示范试点、太湖湾片区美丽乡村示范区、江苏中关村美意田园建设、礼诗圩特色田园乡村提升工程、殷杏泰融合发展示范区。</w:t>
            </w:r>
          </w:p>
        </w:tc>
      </w:tr>
    </w:tbl>
    <w:p>
      <w:pPr>
        <w:adjustRightInd w:val="0"/>
        <w:snapToGrid w:val="0"/>
        <w:spacing w:line="570" w:lineRule="exact"/>
        <w:ind w:firstLine="640" w:firstLineChars="200"/>
        <w:rPr>
          <w:rFonts w:eastAsia="方正仿宋_GBK"/>
          <w:snapToGrid w:val="0"/>
          <w:kern w:val="0"/>
          <w:sz w:val="32"/>
          <w:szCs w:val="32"/>
        </w:rPr>
      </w:pPr>
      <w:bookmarkStart w:id="80" w:name="_Toc55403978"/>
      <w:r>
        <w:rPr>
          <w:rFonts w:eastAsia="方正仿宋_GBK"/>
          <w:snapToGrid w:val="0"/>
          <w:kern w:val="0"/>
          <w:sz w:val="32"/>
          <w:szCs w:val="32"/>
        </w:rPr>
        <w:t>促进城乡资源要素双向自由流动高效配置。建立健全城乡统一的人才、资本、技术与土地市场体系。深化实施“百名精英人才培养”“龙城英才乡土人才”“乡土人才三带”等行动计划，统筹推动教育、医卫、文化、科技等领域人才下乡，加强乡村教师、基层医卫人员、农业科技特派员等队伍建设，全面建立乡土人才职称评审制度，健全城乡人才交流共享机制。合理推动工商资本下乡，制定完善农业农村投资指南和负面清单，完善财政、基金、银行、保险、担保“五位一体”的财政金融协同支农机制和多元投入保障制度，深化农村集体产权制度改革。加快推动科技成果下乡，实施一批农业科技计划项目，鼓励开展农业产学研活动，推进农业科技发展重大平台载体建设，培育壮大农业科技服务业。加快推进国土空间全域综合整治，深入实施农村土地资源统筹配置，深化农村宅基地改革，完善农村承包地“三权分置”制度，依法推进集体经营性建设用地有序入市和承包经营权流转。继续推动农村集体经营性建设用地使用权抵押贷款，缓解农村经营主体融资担保难题。</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城乡基础设施与公共服务一体化发展。加快建设提升覆盖城乡的公路、电力、燃气、供水和垃圾污水收集处理等基础设施，健全市县镇村四级管理网络和建管长效机制。高质量推进“四好农村路”建设，提升农村通组入户道路建设水平，加强城乡公交线路与农村景点、高铁站、轨道站、机场的有效衔接，打造全域旅游公路“常州品牌”，健全乡村物流基础设施和配送网络体系，实施“光网乡村”提升工程。优化发展农村教育、健康、医疗、养老、文化等公共服务，加快农村学校标准化建设，推进农村区域性医疗卫生中心、紧密型县域医共体和基层特色科室建设，落实城乡居民基本养老保险待遇确定和基础养老金正常调整机制，提高乡村文化和体育服务水平，全面缩小城乡社会保障差距。</w:t>
      </w:r>
    </w:p>
    <w:p>
      <w:pPr>
        <w:spacing w:before="240" w:after="240" w:line="580" w:lineRule="exact"/>
        <w:jc w:val="center"/>
        <w:rPr>
          <w:rFonts w:hint="eastAsia" w:ascii="方正黑体_GBK" w:eastAsia="方正黑体_GBK"/>
          <w:sz w:val="32"/>
          <w:szCs w:val="32"/>
        </w:rPr>
      </w:pPr>
      <w:bookmarkStart w:id="81" w:name="_Toc58576660"/>
      <w:r>
        <w:rPr>
          <w:rFonts w:hint="eastAsia" w:ascii="方正黑体_GBK" w:eastAsia="方正黑体_GBK"/>
          <w:sz w:val="32"/>
          <w:szCs w:val="32"/>
        </w:rPr>
        <w:t>第十章</w:t>
      </w:r>
      <w:bookmarkEnd w:id="80"/>
      <w:r>
        <w:rPr>
          <w:rFonts w:hint="eastAsia" w:ascii="方正黑体_GBK" w:eastAsia="方正黑体_GBK"/>
          <w:sz w:val="32"/>
          <w:szCs w:val="32"/>
        </w:rPr>
        <w:t xml:space="preserve">  深度融入区域发展</w:t>
      </w:r>
      <w:bookmarkEnd w:id="81"/>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坚持协调发展，强化区域合作，全面融入长三角高质量一体化发展，建设长江经济带绿色发展示范城市，重塑区域竞合新优势。</w:t>
      </w:r>
    </w:p>
    <w:p>
      <w:pPr>
        <w:spacing w:before="240" w:after="240" w:line="580" w:lineRule="exact"/>
        <w:jc w:val="center"/>
        <w:rPr>
          <w:rFonts w:ascii="方正楷体_GBK" w:eastAsia="方正楷体_GBK"/>
          <w:sz w:val="32"/>
          <w:szCs w:val="32"/>
        </w:rPr>
      </w:pPr>
      <w:bookmarkStart w:id="82" w:name="_Toc58576661"/>
      <w:bookmarkStart w:id="83" w:name="_Toc55403979"/>
      <w:r>
        <w:rPr>
          <w:rFonts w:ascii="方正楷体_GBK" w:eastAsia="方正楷体_GBK"/>
          <w:sz w:val="32"/>
          <w:szCs w:val="32"/>
        </w:rPr>
        <w:t>第一节  全面融入长三角高质量一体化发展</w:t>
      </w:r>
      <w:bookmarkEnd w:id="82"/>
      <w:bookmarkEnd w:id="83"/>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打造上海和南京都市圈联动发展门户。加快承接上海现代产业、科技创新、公共服务等优质资源，全面对接上海市场规则、服务标准和管理模式，打造上海大都市圈西翼门户、沪宁城市发展带战略支点，支持新北与黄浦、武进与杨浦、天宁与临港深化合作。加强溧阳、金坛与南京的产业对接、科创合作和服务共享力度，提升与南京的开放互动、交通互联、资源互通水平；扩大与南京都市圈内城市交流合作，支持金坛与丹阳设立丹金融合发展试验区。</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w:t>
      </w:r>
      <w:bookmarkStart w:id="84" w:name="OLE_LINK4"/>
      <w:r>
        <w:rPr>
          <w:rFonts w:eastAsia="方正仿宋_GBK"/>
          <w:snapToGrid w:val="0"/>
          <w:kern w:val="0"/>
          <w:sz w:val="32"/>
          <w:szCs w:val="32"/>
        </w:rPr>
        <w:t>动沪宁合产业创新带建设</w:t>
      </w:r>
      <w:bookmarkEnd w:id="84"/>
      <w:r>
        <w:rPr>
          <w:rFonts w:eastAsia="方正仿宋_GBK"/>
          <w:snapToGrid w:val="0"/>
          <w:kern w:val="0"/>
          <w:sz w:val="32"/>
          <w:szCs w:val="32"/>
        </w:rPr>
        <w:t>。深入参与长三角全面创新改革试验，全面对接上海张江、安徽合肥国家综合性科学中心建设，积极共建长三角科创圈，与沪宁合等城市联手打造一批科技创新共同体、产业创新平台。协同推进科技成果转化，推动长三角“双创”示范基地联盟建设，打造长三角科技合作交流和创新成果转移转化重要基地。共建区域要素市场与制度创新体系，推动建设长三角产权交易共同市场，支持企业对接长三角多层次资本市场，在区域“大通关”、一体化标准体系等领域开展先行试点试验。</w:t>
      </w:r>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积极推动常泰跨江融合发展。</w:t>
      </w:r>
      <w:r>
        <w:rPr>
          <w:rFonts w:eastAsia="方正仿宋_GBK"/>
          <w:snapToGrid w:val="0"/>
          <w:kern w:val="0"/>
          <w:sz w:val="32"/>
          <w:szCs w:val="32"/>
        </w:rPr>
        <w:t>完善跨江产业科技合作机制，打造产业集群跨江融合发展示范区。加强跨江旅游合作，共同开辟沿江精品旅游线路，打造区域旅游品牌，携手打造大江风光带。建立全方位、宽领域、多层次的交流合作机制，建立重大事项“绿色通道”。支持新北与泰兴市共建常泰跨江融合发展先行示范区。</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深入推进苏皖合作示范区建设。推进基础设施互通和信息共享，打通省际断头路，引导社会资本参与区域基本公共服务设施共建，探索生态价值向经济社会价值转换的绿色发展路径，开展旅游资源跨界整合和空间优化，推动企业跨区合作和园区合作共建，探索创建跨区域国家级开发区。协同建设区域生态安全格局，推进以水污染防治为主的环境污染协同治理，开展跨地区横向生态补偿和环境损害赔偿试点。在苏皖合作基础上，推动“一地六县”长三角产业合作区建设。</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促进宁杭生态经济绿色崛起。推进以绿色低碳为导向的产业转型升级，强化生态创新能力，探索与沿线城市共同设立宁杭生态经济带发展投资基金，推进区域性生态资源交易平台建设。强化跨界道路对接，完善宁杭沿线区域综合交通网络。支持溧阳、金坛建设成为宁杭生态经济带各具特色的副中心城市，打造一批独具魅力的特色小镇、美丽乡村。</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长三角民营经济联盟。创建国家民营经济示范市。与上海杨浦区、浙江温州市和台州市、安徽芜湖市共建“长三角民营经济跨区域发展联盟”，实施产业协同、创新协同、制度协同、服务协同、合作共建行动，为民营经济跨区域发展探索路径、提供样板。</w:t>
      </w:r>
    </w:p>
    <w:p>
      <w:pPr>
        <w:spacing w:before="240" w:after="240" w:line="580" w:lineRule="exact"/>
        <w:jc w:val="center"/>
        <w:rPr>
          <w:rFonts w:ascii="方正楷体_GBK" w:eastAsia="方正楷体_GBK"/>
          <w:sz w:val="32"/>
          <w:szCs w:val="32"/>
        </w:rPr>
      </w:pPr>
      <w:bookmarkStart w:id="85" w:name="_Toc55403980"/>
      <w:bookmarkStart w:id="86" w:name="_Toc58576662"/>
      <w:r>
        <w:rPr>
          <w:rFonts w:ascii="方正楷体_GBK" w:eastAsia="方正楷体_GBK"/>
          <w:sz w:val="32"/>
          <w:szCs w:val="32"/>
        </w:rPr>
        <w:t>第二节  高质量参与长江经济带发展</w:t>
      </w:r>
      <w:bookmarkEnd w:id="85"/>
      <w:bookmarkEnd w:id="8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长江经济带绿色发展示范城市。严格执行长江保护法，把修复长江生态环境摆在压倒性位置，持续深入开展长江生态修复和环境保护，实施长江生态廊道建设工程，加快形成水清、岸绿、景美的滨江景观风貌，打造沿江特色示范段，着力恢复和保持长江生态原真性和完整性，积极创建国家长江经济带绿色发展示范区。以破解“化工围江”为核心，深入开展滨江化工区综合整治行动，推动化工产业绿色转型和化工腾退用地异地置换高效利用，建设全国一流绿色生态化工园区，打造长江经济带破解“化工围江”样板区，实现化工园区亩均税收较“十三五”末翻一番目标。推动武进加快建设“苏南模式”转型升级试验区和生态保护引领区，支持溧阳建设长三角生态创新示范城市，争创长江经济带生态产品价值实现试点。</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快建设综合港务区。推动常州港、空港（奔牛机场）、奔牛港、综合保税区“三港一区”全面融合，推进江港、内河港口码头、铁路专用线、货场等资源整合，构建面向区域的一体化、高效率、低成本的物流和通关体系，推动综合交通枢纽与城市产业空间融合，加快与上港集团建立常态长效合作机制，建设江苏自贸区联动创新区，打造区域重要的物流中转中心、全国示范的物流科技创新高地、交通运输深化改革的先行军。</w:t>
      </w:r>
    </w:p>
    <w:p>
      <w:pPr>
        <w:spacing w:before="240" w:after="240" w:line="580" w:lineRule="exact"/>
        <w:jc w:val="center"/>
        <w:rPr>
          <w:rFonts w:ascii="方正楷体_GBK" w:eastAsia="方正楷体_GBK"/>
          <w:sz w:val="32"/>
          <w:szCs w:val="32"/>
        </w:rPr>
      </w:pPr>
      <w:bookmarkStart w:id="87" w:name="_Toc55403981"/>
      <w:bookmarkStart w:id="88" w:name="_Toc58576663"/>
      <w:r>
        <w:rPr>
          <w:rFonts w:ascii="方正楷体_GBK" w:eastAsia="方正楷体_GBK"/>
          <w:sz w:val="32"/>
          <w:szCs w:val="32"/>
        </w:rPr>
        <w:t>第三节  高水平共建苏锡常都市圈</w:t>
      </w:r>
      <w:bookmarkEnd w:id="87"/>
      <w:bookmarkEnd w:id="8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产业科技协同创新。提升苏南国家自主创新示范区一体化发展水平，推动科学研究设施、产业技术创新平台、科技公共服务平台、创新投资基金平台共建共享，牵头组织实施一批战略性、跨区域、跨领域的重大关键核心技术攻关项目和产业发展项目，推动更多科技创新成果来常转化应用。协同推进太湖湾科创带建设。聚焦智能装备、新材料、生物医药等领域，优化区域产业链布局，加快产业配套合作，共建国家新型工业化产业示范基地、环太湖科技创新圈。</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基础设施互联与公共服务共享。统筹推进跨区域不同等级公路联通、城际轨道交通衔接、异地公交运营，实施312国道、340省道、232省道等快速化改造，推动常州无锡高架快速路无缝衔接，推进苏锡常南部高速公路、苏锡常城际铁路、南沿江高铁等重点工程建设。加强沿江内河航运协作，支持金坛港与太仓港深化合作联动。实施一批重点跨界河湖水利工程。推动重点跨界地区教育、医疗卫生等公共服务资源优化配置，探索开通跨市毗邻公交线路，高水平规划建设一批跨界城镇圈，支持常州经开区开展“锡常一体化”试点。</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深化文化旅游融合发展。依托吴文化、运河文化基因，统筹利用名河、名湖、名山、名城、名镇以及红色文化等地域特色资源，协同打造文旅线路产品，加强常州太湖湾与无锡拈花湾、苏州东太湖地区文旅资源合作开发，推动环太湖休闲旅游度假区建设，联手打造“大运河世界遗产经典游”“环太湖休闲度假精品游”“江南古城古镇古村体验游”等文旅品牌，联合推出“旅游一卡通联名卡”。探索共同组织承办重大赛事、文体活动、会展论坛等。</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重大政策协调互动。共同研究推出产业集群和科技创新支持政策，加强人才引育政策协同，开展环太湖生态经济圈政策合作。完善多层次合作协商机制，推动建立实体化运作的一体化组织工作体系，在产业创新、基础设施、文化旅游、生态保护、公共服务等领域谋划实施一批重大项目。</w:t>
      </w:r>
    </w:p>
    <w:p>
      <w:pPr>
        <w:spacing w:before="240" w:after="240" w:line="580" w:lineRule="exact"/>
        <w:jc w:val="center"/>
        <w:rPr>
          <w:rFonts w:ascii="方正楷体_GBK" w:eastAsia="方正楷体_GBK"/>
          <w:sz w:val="32"/>
          <w:szCs w:val="32"/>
        </w:rPr>
      </w:pPr>
      <w:bookmarkStart w:id="89" w:name="_Toc58576664"/>
      <w:bookmarkStart w:id="90" w:name="_Toc55403982"/>
      <w:r>
        <w:rPr>
          <w:rFonts w:ascii="方正楷体_GBK" w:eastAsia="方正楷体_GBK"/>
          <w:sz w:val="32"/>
          <w:szCs w:val="32"/>
        </w:rPr>
        <w:t>第四节  提高对口支援帮扶合作水平</w:t>
      </w:r>
      <w:bookmarkEnd w:id="89"/>
      <w:bookmarkEnd w:id="90"/>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高水平开展对口支援与扶贫协作。</w:t>
      </w:r>
      <w:r>
        <w:rPr>
          <w:rFonts w:eastAsia="方正仿宋_GBK"/>
          <w:snapToGrid w:val="0"/>
          <w:kern w:val="0"/>
          <w:sz w:val="32"/>
          <w:szCs w:val="32"/>
        </w:rPr>
        <w:t>深化全方位、精准对口支援，着重改善受援地基础教育、基础医疗服务能力，强化智力支持与园区共建，推进与新疆克州乌恰县和伊犁州尼勒克县、青海海南州共和县、湖北秭归县、重庆云阳县的对口支援帮扶工作，扎实开展对口支援绩效考核评价。深入实施东西部扶贫协作，广泛动员社会力量参与深度贫困地区脱贫攻坚，引导在常企业到对口帮扶的陕西安康市投资兴业。创新常州与辽宁葫芦岛、常州高新区与沈抚新区对口合作机制，打造重点产业合作典型示范。</w:t>
      </w:r>
    </w:p>
    <w:p>
      <w:pPr>
        <w:adjustRightInd w:val="0"/>
        <w:snapToGrid w:val="0"/>
        <w:spacing w:line="570" w:lineRule="exact"/>
        <w:ind w:firstLine="640" w:firstLineChars="200"/>
        <w:rPr>
          <w:rFonts w:hint="eastAsia" w:eastAsia="方正仿宋_GBK"/>
          <w:snapToGrid w:val="0"/>
          <w:kern w:val="0"/>
          <w:sz w:val="32"/>
          <w:szCs w:val="32"/>
        </w:rPr>
      </w:pPr>
      <w:r>
        <w:rPr>
          <w:rFonts w:eastAsia="方正仿宋_GBK"/>
          <w:bCs/>
          <w:snapToGrid w:val="0"/>
          <w:kern w:val="0"/>
          <w:sz w:val="32"/>
          <w:szCs w:val="32"/>
        </w:rPr>
        <w:t>推动南北共建园区高质量发展。</w:t>
      </w:r>
      <w:r>
        <w:rPr>
          <w:rFonts w:eastAsia="方正仿宋_GBK"/>
          <w:snapToGrid w:val="0"/>
          <w:kern w:val="0"/>
          <w:sz w:val="32"/>
          <w:szCs w:val="32"/>
        </w:rPr>
        <w:t>持续推动常州盐城工业园区合作共建，以高端智能装备制造为主导产业，培育龙头、打造集群。支持常州盐城大丰工业园高质量发展建设，推动武进高新区阜宁工业园、武进经开区射阳工业园争创省级南北共建园区高质量发展特色园区，鼓励更多园区开展合作共建。</w:t>
      </w:r>
    </w:p>
    <w:p>
      <w:pPr>
        <w:adjustRightInd w:val="0"/>
        <w:snapToGrid w:val="0"/>
        <w:spacing w:line="570" w:lineRule="exact"/>
        <w:ind w:firstLine="640" w:firstLineChars="200"/>
        <w:rPr>
          <w:rFonts w:hint="eastAsia" w:eastAsia="方正仿宋_GBK"/>
          <w:snapToGrid w:val="0"/>
          <w:kern w:val="0"/>
          <w:sz w:val="32"/>
          <w:szCs w:val="32"/>
        </w:rPr>
      </w:pPr>
    </w:p>
    <w:p>
      <w:pPr>
        <w:spacing w:line="580" w:lineRule="exact"/>
        <w:jc w:val="center"/>
        <w:rPr>
          <w:rFonts w:hint="eastAsia" w:ascii="方正小标宋_GBK" w:eastAsia="方正小标宋_GBK"/>
          <w:sz w:val="44"/>
          <w:szCs w:val="44"/>
        </w:rPr>
      </w:pPr>
      <w:r>
        <w:rPr>
          <w:rFonts w:eastAsia="方正仿宋_GBK"/>
          <w:snapToGrid w:val="0"/>
          <w:kern w:val="0"/>
          <w:sz w:val="32"/>
          <w:szCs w:val="32"/>
        </w:rPr>
        <w:br w:type="page"/>
      </w:r>
      <w:bookmarkStart w:id="91" w:name="_Toc58576665"/>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第四篇  建设双循环重要节点城市</w:t>
      </w:r>
      <w:bookmarkEnd w:id="91"/>
    </w:p>
    <w:p>
      <w:pPr>
        <w:spacing w:line="580" w:lineRule="exact"/>
        <w:jc w:val="center"/>
        <w:rPr>
          <w:rFonts w:hint="eastAsia" w:ascii="方正小标宋_GBK" w:eastAsia="方正小标宋_GBK"/>
          <w:sz w:val="44"/>
          <w:szCs w:val="44"/>
        </w:rPr>
      </w:pPr>
    </w:p>
    <w:p>
      <w:pPr>
        <w:spacing w:after="240" w:line="580" w:lineRule="exact"/>
        <w:jc w:val="center"/>
        <w:rPr>
          <w:rFonts w:hint="eastAsia" w:ascii="方正黑体_GBK" w:eastAsia="方正黑体_GBK"/>
          <w:sz w:val="32"/>
          <w:szCs w:val="32"/>
        </w:rPr>
      </w:pPr>
      <w:bookmarkStart w:id="92" w:name="_Toc55403984"/>
      <w:bookmarkStart w:id="93" w:name="_Toc58576666"/>
      <w:bookmarkStart w:id="94" w:name="_Hlk53659049"/>
      <w:r>
        <w:rPr>
          <w:rFonts w:hint="eastAsia" w:ascii="方正黑体_GBK" w:eastAsia="方正黑体_GBK"/>
          <w:sz w:val="32"/>
          <w:szCs w:val="32"/>
        </w:rPr>
        <w:t>第十一章</w:t>
      </w:r>
      <w:bookmarkEnd w:id="92"/>
      <w:r>
        <w:rPr>
          <w:rFonts w:hint="eastAsia" w:ascii="方正黑体_GBK" w:eastAsia="方正黑体_GBK"/>
          <w:sz w:val="32"/>
          <w:szCs w:val="32"/>
        </w:rPr>
        <w:t xml:space="preserve">  融入国内大循环</w:t>
      </w:r>
      <w:bookmarkEnd w:id="93"/>
    </w:p>
    <w:bookmarkEnd w:id="94"/>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坚持供给侧结构性改革战略方向，抓住扩大内需战略基点，提高供给质效，释放消费潜能，积极融入国内大循环。</w:t>
      </w:r>
    </w:p>
    <w:p>
      <w:pPr>
        <w:spacing w:before="240" w:after="240" w:line="580" w:lineRule="exact"/>
        <w:jc w:val="center"/>
        <w:rPr>
          <w:rFonts w:ascii="方正楷体_GBK" w:eastAsia="方正楷体_GBK"/>
          <w:sz w:val="32"/>
          <w:szCs w:val="32"/>
        </w:rPr>
      </w:pPr>
      <w:bookmarkStart w:id="95" w:name="_Toc55403985"/>
      <w:bookmarkStart w:id="96" w:name="_Toc58576667"/>
      <w:r>
        <w:rPr>
          <w:rFonts w:ascii="方正楷体_GBK" w:eastAsia="方正楷体_GBK"/>
          <w:sz w:val="32"/>
          <w:szCs w:val="32"/>
        </w:rPr>
        <w:t>第一节  全面提高供给质量效益</w:t>
      </w:r>
      <w:bookmarkEnd w:id="95"/>
      <w:bookmarkEnd w:id="9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扩大有效投资。发挥投资对优化供给结构的关键性作用，加大招商引资力度，支持企业扩大有效投资，优化政府投资方向和结构，确保投资稳定增长。完善重大项目建设和储备机制，聚焦先进制造业、新型基础设施、现代服务业以及民生改善，精准实施一批打基础、利长远、补短板的重大工程项目。坚持项目跟着规划走、要素跟着项目走，健全资金、土地、环境容量等要素与重大项目匹配机制。统筹全市招商资源，强化重大项目布局调控，强化产业空间、产能压减、能耗排放等指标市域统筹能力。完善重大项目推进机制，健全入库项目动态管理、即时监督、结果评价、考核奖励等机制，健全领导挂帅联系重大项目工作机制。深化政府投资体制改革，优化政府投资安排与要素配置方式，发挥政府投资杠杆作用，深入推进政府和社会资本合作。到2025年，全社会固定资产投资累计超1.5万亿元。</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提升国内供给。围绕先进制造业集群、标志性产业链的重点领域，实施进口产品替代工程，加大科技攻关力度，增强高质量科技供给能力。加强海洋经济发展引导和重点产业培育，打造涉海龙头企业和优势产品，促进海洋经济高质量发展。深入实施质量提升和标准领航工程，推进企业质量品牌建设，培育一批优秀质量标杆企业和驰名商标、名牌产品，增强高质量产品供给能力，打响“常州制造”品牌。开展服务质量满意度提升行动，培育一批高价值区域性服务品牌，增强高质量服务供给能力，打响“常州服务”品牌。支持企业出口转内销，开展外贸企业境内市场销售相关业务培训，鼓励外贸企业打造境内销售自主品牌，支持外贸企业发展“同线同标同质”产品，搭建出口转内销对接平台，拓宽出口产品线上线下销售渠道，推动外贸企业进商场、进超市、进渠道、进街区，培育一批内外贸融合发展的行业龙头企业。</w:t>
      </w:r>
    </w:p>
    <w:p>
      <w:pPr>
        <w:spacing w:before="240" w:after="240" w:line="580" w:lineRule="exact"/>
        <w:jc w:val="center"/>
        <w:rPr>
          <w:rFonts w:ascii="方正楷体_GBK" w:eastAsia="方正楷体_GBK"/>
          <w:sz w:val="32"/>
          <w:szCs w:val="32"/>
        </w:rPr>
      </w:pPr>
      <w:bookmarkStart w:id="97" w:name="_Toc58576668"/>
      <w:bookmarkStart w:id="98" w:name="_Toc55403986"/>
      <w:r>
        <w:rPr>
          <w:rFonts w:ascii="方正楷体_GBK" w:eastAsia="方正楷体_GBK"/>
          <w:sz w:val="32"/>
          <w:szCs w:val="32"/>
        </w:rPr>
        <w:t>第二节  打造区域消费中心城市</w:t>
      </w:r>
      <w:bookmarkEnd w:id="97"/>
      <w:bookmarkEnd w:id="9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有效释放消费潜力。加快衣食住行实物消费品质发展，开展批发零售业提质增效行动，推动传统商贸和实体商业转变经营模式、创新组织形式、增强体验服务，推广智慧商超、智慧餐厅等新零售，打造一批高品质专业市场。促进文旅休闲、健康养老、家政幼托、教育培训等服务消费提质扩容，释放网络消费、绿色消费、智能消费、时尚消费等新兴消费热点潜力，培育壮大在线教育、互联网健康医疗服务、在线文娱、智慧旅游、智慧体育等业态，发展体验经济、首店经济、无接触式消费等新模式。实施线上线下融合消费双向提速工程，支持互联网平台企业向线下延伸拓展，加快传统线下业态数字化改造和转型升级，鼓励实体商业通过直播电子商务、社交营销开启“云逛街”。加强农村消费网络建设，促进消费新业态向农村市场拓展，引领农村消费梯次升级。</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消费平台载体与促进机制。优化城乡消费平台载体布局，着力打造一批高品质综合商圈、特色商业街（步行街）、商业综合体和新型消费体验中心（场景），加快推进乡镇综合体、农村消费网络建设。加快新型消费基础设施和服务保障能力建设，推动新型基础设施优先覆盖核心商圈、主要应用场景等。完善消费激励引导机制，探索发放惠民消费电子券，培育惠民消费季等品牌活动。完善消费领域信用体系，推行诚信经营和诚信消费。强化消费市场监管，畅通消费者维权通道，完善产品、服务跟踪反馈评估体系，健全质量安全风险监测评估制度。支持南大街古运河步行街争创国家级试点。</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00" w:lineRule="exact"/>
              <w:jc w:val="center"/>
              <w:rPr>
                <w:rFonts w:eastAsia="方正仿宋_GBK"/>
                <w:snapToGrid w:val="0"/>
                <w:kern w:val="0"/>
                <w:sz w:val="28"/>
                <w:szCs w:val="28"/>
              </w:rPr>
            </w:pPr>
            <w:r>
              <w:rPr>
                <w:rFonts w:eastAsia="方正仿宋_GBK"/>
                <w:snapToGrid w:val="0"/>
                <w:kern w:val="0"/>
                <w:sz w:val="28"/>
                <w:szCs w:val="28"/>
              </w:rPr>
              <w:t>专栏11-1</w:t>
            </w:r>
            <w:r>
              <w:rPr>
                <w:rFonts w:hint="eastAsia" w:eastAsia="方正仿宋_GBK"/>
                <w:snapToGrid w:val="0"/>
                <w:kern w:val="0"/>
                <w:sz w:val="28"/>
                <w:szCs w:val="28"/>
              </w:rPr>
              <w:t xml:space="preserve">  </w:t>
            </w:r>
            <w:r>
              <w:rPr>
                <w:rFonts w:eastAsia="方正仿宋_GBK"/>
                <w:snapToGrid w:val="0"/>
                <w:kern w:val="0"/>
                <w:sz w:val="28"/>
                <w:szCs w:val="28"/>
              </w:rPr>
              <w:t>综合性商圈、特色商业街（步行街）</w:t>
            </w:r>
          </w:p>
          <w:p>
            <w:pPr>
              <w:adjustRightInd w:val="0"/>
              <w:snapToGrid w:val="0"/>
              <w:spacing w:line="40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综合性商圈：老城厢城市“第一商圈”、通江路—环球港商圈、环球恐龙城商圈、经开区核心区商圈、武进花园街商圈、金坛金沙老城商圈、溧阳平陵中路商圈；</w:t>
            </w:r>
          </w:p>
          <w:p>
            <w:pPr>
              <w:adjustRightInd w:val="0"/>
              <w:snapToGrid w:val="0"/>
              <w:spacing w:line="400" w:lineRule="exact"/>
              <w:ind w:firstLine="560" w:firstLineChars="200"/>
              <w:jc w:val="left"/>
              <w:rPr>
                <w:rFonts w:eastAsia="方正仿宋_GBK"/>
                <w:snapToGrid w:val="0"/>
                <w:kern w:val="0"/>
                <w:sz w:val="28"/>
                <w:szCs w:val="28"/>
              </w:rPr>
            </w:pPr>
            <w:r>
              <w:rPr>
                <w:rFonts w:eastAsia="方正仿宋_GBK"/>
                <w:bCs/>
                <w:snapToGrid w:val="0"/>
                <w:kern w:val="0"/>
                <w:sz w:val="28"/>
                <w:szCs w:val="28"/>
              </w:rPr>
              <w:t>特色商业街（步行街）：南大街、三堡街、西瀛里、汉江路、太湖路、大渡河路、大庙弄等。</w:t>
            </w:r>
          </w:p>
        </w:tc>
      </w:tr>
    </w:tbl>
    <w:p>
      <w:pPr>
        <w:spacing w:before="240" w:after="240" w:line="580" w:lineRule="exact"/>
        <w:jc w:val="center"/>
        <w:rPr>
          <w:rFonts w:ascii="方正黑体_GBK" w:eastAsia="方正黑体_GBK"/>
          <w:sz w:val="32"/>
          <w:szCs w:val="32"/>
        </w:rPr>
      </w:pPr>
      <w:bookmarkStart w:id="99" w:name="_Toc58576669"/>
      <w:bookmarkStart w:id="100" w:name="_Toc55403987"/>
      <w:r>
        <w:rPr>
          <w:rFonts w:ascii="方正黑体_GBK" w:eastAsia="方正黑体_GBK"/>
          <w:sz w:val="32"/>
          <w:szCs w:val="32"/>
        </w:rPr>
        <w:t>第十二章  打造高质量对外开放城市</w:t>
      </w:r>
      <w:bookmarkEnd w:id="9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持续优化开放布局、提升开放能级，推动国内市场和国际市场更好联通、相互促进，成为国内国际双循环相互促进的重要战略链接，加快形成开放型经济发展新格局。</w:t>
      </w:r>
    </w:p>
    <w:p>
      <w:pPr>
        <w:spacing w:before="240" w:after="240" w:line="580" w:lineRule="exact"/>
        <w:jc w:val="center"/>
        <w:rPr>
          <w:rFonts w:ascii="方正楷体_GBK" w:eastAsia="方正楷体_GBK"/>
          <w:sz w:val="32"/>
          <w:szCs w:val="32"/>
        </w:rPr>
      </w:pPr>
      <w:bookmarkStart w:id="101" w:name="_Toc58576670"/>
      <w:r>
        <w:rPr>
          <w:rFonts w:ascii="方正楷体_GBK" w:eastAsia="方正楷体_GBK"/>
          <w:sz w:val="32"/>
          <w:szCs w:val="32"/>
        </w:rPr>
        <w:t>第一节  提升利用外资质量和水平</w:t>
      </w:r>
      <w:bookmarkEnd w:id="101"/>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聚焦重点产业优质项目。突出培育知识密集型产业</w:t>
      </w:r>
      <w:r>
        <w:rPr>
          <w:rFonts w:eastAsia="方正仿宋_GBK"/>
          <w:snapToGrid w:val="0"/>
          <w:kern w:val="0"/>
          <w:sz w:val="32"/>
          <w:szCs w:val="32"/>
        </w:rPr>
        <w:t>，大力推进高端装备制造、新一代信息技术、新材料、新能源等先进制造业发展重点领域的引资引智，加强在智能制造、物联网、云计算、生物医药等战略性新兴产业领域的国际合作，引进检验检测认证、知识产权服务、融资租赁、商业保理、会展业以及基于互联网的平台经济、工业设计等新兴业态，扩大教育、医疗、养老、文化等生活服务业领域开放力度。加大对世界500强旗舰项目以及全球细分行业“隐形冠军”、高科技“独角兽”企业招引力度，进一步加大对德对日招商力度，大力争取欧美高技术高效益高附加值项目。到2025年，累计实际到帐外资150亿美元以上，制造业实际利用外资占比保持50%以上，超5亿、超10亿美元外资重大项目取得新突破。</w:t>
      </w:r>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创新招商引资方式。</w:t>
      </w:r>
      <w:r>
        <w:rPr>
          <w:rFonts w:eastAsia="方正仿宋_GBK"/>
          <w:snapToGrid w:val="0"/>
          <w:kern w:val="0"/>
          <w:sz w:val="32"/>
          <w:szCs w:val="32"/>
        </w:rPr>
        <w:t>加大“人才+基金+项目”的招商力度，探索平台招商模式。推进云招商、小分队招商、驻点招商、专题招商、委托招商，实现线上线下协同推进；发挥新华侨资源优势，促进海外人才来常创新创业。鼓励外商通过并购、参股、股权置换、技术出资、外债转增资等模式进行投资，鼓励已落户外资企业增资扩股。鼓励特色民营企业、“隐形冠军” “单项冠军”与跨国公司进行配套协作，实现“高位嫁接”“以民引外”。主动承接国际新一轮高端服务业转移，鼓励外资在医疗与旅游、文化与互联网、跨境电商、健康养老、合作办学等方面探索多产业深度融合发展新模式。按照准入管理模式的改革进展，合理推动外资管理服务的进一步便利化，建立健全投资权益综合服务体系。</w:t>
      </w:r>
    </w:p>
    <w:p>
      <w:pPr>
        <w:spacing w:before="240" w:after="240" w:line="580" w:lineRule="exact"/>
        <w:jc w:val="center"/>
        <w:rPr>
          <w:rFonts w:ascii="方正楷体_GBK" w:eastAsia="方正楷体_GBK"/>
          <w:sz w:val="32"/>
          <w:szCs w:val="32"/>
        </w:rPr>
      </w:pPr>
      <w:bookmarkStart w:id="102" w:name="_Toc58576671"/>
      <w:r>
        <w:rPr>
          <w:rFonts w:ascii="方正楷体_GBK" w:eastAsia="方正楷体_GBK"/>
          <w:sz w:val="32"/>
          <w:szCs w:val="32"/>
        </w:rPr>
        <w:t>第二节  转变外贸发展方式</w:t>
      </w:r>
      <w:bookmarkEnd w:id="102"/>
    </w:p>
    <w:p>
      <w:pPr>
        <w:overflowPunct w:val="0"/>
        <w:autoSpaceDE w:val="0"/>
        <w:autoSpaceDN w:val="0"/>
        <w:adjustRightInd w:val="0"/>
        <w:snapToGrid w:val="0"/>
        <w:spacing w:line="570" w:lineRule="exact"/>
        <w:ind w:firstLine="640" w:firstLineChars="200"/>
        <w:jc w:val="left"/>
        <w:rPr>
          <w:rFonts w:eastAsia="方正仿宋_GBK"/>
          <w:snapToGrid w:val="0"/>
          <w:kern w:val="0"/>
          <w:sz w:val="32"/>
          <w:szCs w:val="32"/>
        </w:rPr>
      </w:pPr>
      <w:r>
        <w:rPr>
          <w:rFonts w:eastAsia="方正仿宋_GBK"/>
          <w:bCs/>
          <w:snapToGrid w:val="0"/>
          <w:kern w:val="0"/>
          <w:sz w:val="32"/>
          <w:szCs w:val="32"/>
        </w:rPr>
        <w:t>实施外贸强基行动。</w:t>
      </w:r>
      <w:r>
        <w:rPr>
          <w:rFonts w:eastAsia="方正仿宋_GBK"/>
          <w:snapToGrid w:val="0"/>
          <w:kern w:val="0"/>
          <w:sz w:val="32"/>
          <w:szCs w:val="32"/>
        </w:rPr>
        <w:t xml:space="preserve">坚持市场多元化战略，积极抢抓RCEP协定机遇，培育外贸新增长点。深耕欧盟、日本、东南亚等传统市场，紧抓美国市场，注重开发传统市场中新的细分市场和中高端市场，重视“一带一路”沿线市场开拓和周边市场培育。支持企业参加各类综合展会、专业展会，开展境外商标注册、出口产品认证、境外广告宣传、自主知识产权保护等活动。推动加工贸易企业向研发、检测、维修、营销服务等高附加值环节延伸。支持企业在境外建设展示、仓储、分拨、销售、售后服务等营销机构，提高机电和高新技术产品出口比重。优化进口政策，鼓励先进技术、成套设备、关键零部件及重要生产资源的进口，积极发展进口商品展示、分拨和物流中心，培育一批市场辐射力强的进口交易中心。开展出口品牌培育工程，重点打造一批出口产业集群，构建产业品牌、企业品牌、产品品牌的外贸出口品牌矩阵，培育一批国家级、省级外贸转型升级示范基地。 </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实施外贸创新行动。</w:t>
      </w:r>
      <w:r>
        <w:rPr>
          <w:rFonts w:eastAsia="方正仿宋_GBK"/>
          <w:snapToGrid w:val="0"/>
          <w:kern w:val="0"/>
          <w:sz w:val="32"/>
          <w:szCs w:val="32"/>
        </w:rPr>
        <w:t>实施“互联网+外贸”战略，大力发展跨境电商、综合保税区、外贸综合服务企业、进口交易中心、进境维修等新业态新模式，推进中国（常州）跨境电子商务综合试验区建设，打造国际贸易供应链平台。争创国家服务外包示范城市，推动服务贸易创新发展，培育一批本土服务贸易龙头企业和园区，建设一批技术支撑和服务功能突出的服务贸易（服务外包）创新平台、贸易促进和交易平台、公共技术服务平台，服务外包执行额年均增长10%以上。</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实施外贸护航行动。</w:t>
      </w:r>
      <w:r>
        <w:rPr>
          <w:rFonts w:eastAsia="方正仿宋_GBK"/>
          <w:snapToGrid w:val="0"/>
          <w:kern w:val="0"/>
          <w:sz w:val="32"/>
          <w:szCs w:val="32"/>
        </w:rPr>
        <w:t>统筹推进政策护航、金融护航、信保护航、专利护航、法律护航、服务护航，落实好支持外贸企业发展的各项政策，建好“贸易预警灯”等平台，健全贸易摩擦应对机制，化解国际经贸风险与摩擦。</w:t>
      </w:r>
    </w:p>
    <w:p>
      <w:pPr>
        <w:spacing w:before="240" w:after="240" w:line="580" w:lineRule="exact"/>
        <w:jc w:val="center"/>
        <w:rPr>
          <w:rFonts w:ascii="方正楷体_GBK" w:eastAsia="方正楷体_GBK"/>
          <w:sz w:val="32"/>
          <w:szCs w:val="32"/>
        </w:rPr>
      </w:pPr>
      <w:bookmarkStart w:id="103" w:name="_Toc58576672"/>
      <w:r>
        <w:rPr>
          <w:rFonts w:ascii="方正楷体_GBK" w:eastAsia="方正楷体_GBK"/>
          <w:sz w:val="32"/>
          <w:szCs w:val="32"/>
        </w:rPr>
        <w:t>第三节  深入实施“走出去”</w:t>
      </w:r>
      <w:bookmarkEnd w:id="103"/>
      <w:r>
        <w:rPr>
          <w:rFonts w:ascii="方正楷体_GBK" w:eastAsia="方正楷体_GBK"/>
          <w:sz w:val="32"/>
          <w:szCs w:val="32"/>
        </w:rPr>
        <w:t>战略</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推动国际产能合作。</w:t>
      </w:r>
      <w:r>
        <w:rPr>
          <w:rFonts w:eastAsia="方正仿宋_GBK"/>
          <w:snapToGrid w:val="0"/>
          <w:kern w:val="0"/>
          <w:sz w:val="32"/>
          <w:szCs w:val="32"/>
        </w:rPr>
        <w:t>以纺织、化工、建材、光伏等传统优势行业为重点，以投资、工程建设和技术合作为主要方式，以装备和产能契合度高、合作意愿强烈、合作条件和基础好的发展中国家为重点，积极开展产能合作，建设国际产能合作示范城市。着力引导对外承包工程向高端化、多元化延伸，鼓励企业开展EPC、BOT等模式的对外工程承包，重点拓展光伏电站、环保设备、轨道交通等新业态的对外承包工程。</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培育本土跨国公司。</w:t>
      </w:r>
      <w:r>
        <w:rPr>
          <w:rFonts w:eastAsia="方正仿宋_GBK"/>
          <w:snapToGrid w:val="0"/>
          <w:kern w:val="0"/>
          <w:sz w:val="32"/>
          <w:szCs w:val="32"/>
        </w:rPr>
        <w:t>支持本土企业高水平“走出去”，坚持“建工厂”与“建市场”、产品输出与产能输出、境外园区建设与物流基地建设相结合，重点支持规模较大、品牌较好、核心竞争力较强的本土企业到境外经贸自由区、资本密集区、创新活跃区、原料产出区开展经营合作、资本运作，加快培育一批具备全球视野和全球资源整合能力的本土跨国公司。</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引导开展跨国并购。</w:t>
      </w:r>
      <w:r>
        <w:rPr>
          <w:rFonts w:eastAsia="方正仿宋_GBK"/>
          <w:snapToGrid w:val="0"/>
          <w:kern w:val="0"/>
          <w:sz w:val="32"/>
          <w:szCs w:val="32"/>
        </w:rPr>
        <w:t>鼓励上市公司和龙头骨干企业在全球范围内广泛建立技术、品牌、销售网络和战略资源渠道，通过参股、交叉持股、投资基金等方式建立国际化生产基地、研发设计基地、海外孵化基地，获得关键技术、扩大市场渠道、打造国际品牌，开展跨国并购。</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推动境外园区建设。</w:t>
      </w:r>
      <w:r>
        <w:rPr>
          <w:rFonts w:eastAsia="方正仿宋_GBK"/>
          <w:snapToGrid w:val="0"/>
          <w:kern w:val="0"/>
          <w:sz w:val="32"/>
          <w:szCs w:val="32"/>
        </w:rPr>
        <w:t>鼓励引导更多有实力的企业赴海外建设经贸合作区，设立海外生产基地、营销中心、研发设计中心、物流基地。引导“走出去”企业实行跨地区、跨行业联合，集群式对外投资，在“一带一路”沿线乃至更广范围打造更多对外经贸合作的“样板园区”。支持金昇乌兹别克斯坦纺织工业园、天合光能国际产业园、天虹越南纺织工业园、中罗绿色科技产业园等境外园区建设与发展，探索市内开发区与境外经贸合作园区联动发展机制，申报国家级、省级境外经贸合作区。</w:t>
      </w:r>
    </w:p>
    <w:p>
      <w:pPr>
        <w:spacing w:before="240" w:after="240" w:line="580" w:lineRule="exact"/>
        <w:jc w:val="center"/>
        <w:rPr>
          <w:rFonts w:ascii="方正楷体_GBK" w:eastAsia="方正楷体_GBK"/>
          <w:sz w:val="32"/>
          <w:szCs w:val="32"/>
        </w:rPr>
      </w:pPr>
      <w:bookmarkStart w:id="104" w:name="_Toc58576673"/>
      <w:r>
        <w:rPr>
          <w:rFonts w:ascii="方正楷体_GBK" w:eastAsia="方正楷体_GBK"/>
          <w:sz w:val="32"/>
          <w:szCs w:val="32"/>
        </w:rPr>
        <w:t>第四节  增创开放新优势</w:t>
      </w:r>
      <w:bookmarkEnd w:id="10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构建高能级对外开放平台。深入开展开发区转型升级创新发展行动，打造具有国际影响力的园区品牌。</w:t>
      </w:r>
      <w:r>
        <w:rPr>
          <w:rFonts w:eastAsia="方正仿宋_GBK"/>
          <w:bCs/>
          <w:snapToGrid w:val="0"/>
          <w:kern w:val="0"/>
          <w:sz w:val="32"/>
          <w:szCs w:val="32"/>
        </w:rPr>
        <w:t>推动各辖市（区）进一步整合优化园区资源布局，形成“1个省级以上经开区+1个省级以上高新区”构架，推进常州经开区、江苏中关村高新区、金坛经开区等升格国家级。推进海关特殊监管区域整合优化，争取进入中国（江苏）自贸试验区联动创新区，全面实行准入前国民待遇加负面清单管理制度和“单一窗口”，提升投资贸易自由化便利化水平。全面落实中以“共建计划”，推进中以常州创新园建设，着力提升江苏省中以产业技术研究院、以色列江苏创新中心、固立高端数控精密制造创新中心等平台发展能级，打造中以创新合作“桥头堡”。推动中德（常州）创新产业园、中瑞（常州）国际产业创新园、中欧（常州）检验检测认证国际合作产业园高质量发展。</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优化口岸开放功能。</w:t>
      </w:r>
      <w:r>
        <w:rPr>
          <w:rFonts w:eastAsia="方正仿宋_GBK"/>
          <w:snapToGrid w:val="0"/>
          <w:kern w:val="0"/>
          <w:sz w:val="32"/>
          <w:szCs w:val="32"/>
        </w:rPr>
        <w:t>加强长江港亿吨级大港、常州机场国际航空港建设，加快发展空港枢纽特色经济。创新通关模式，推进大通关建设，推动海关特殊监管区域间货物便捷流转。不断完善综合保税功能平台，培育电商、保税、冷链等国际物流产业链，加快口岸国际货邮业务发展。精简进出口监管证件联网核查，促进企业申报便利化；优化时效性商品通关流程，加快现场通关验放速度；全面提升“单一窗口”业务应用率，不断提高贸易便利化水平。</w:t>
      </w:r>
      <w:bookmarkEnd w:id="100"/>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方位开展对外交往。积极发展友好城市关系，推进经贸、科技、教育、文化、旅游等领域对外交流合作。深化“一带一路”人文交流，培育对外文化交流品牌，推动传统文化“走出去”，建设“一带一路”融媒体传播聚合分发创新平台及国际传播内容运营中心。支持在常高校院</w:t>
      </w:r>
      <w:r>
        <w:rPr>
          <w:rFonts w:eastAsia="方正仿宋_GBK"/>
          <w:bCs/>
          <w:snapToGrid w:val="0"/>
          <w:kern w:val="0"/>
          <w:sz w:val="32"/>
          <w:szCs w:val="32"/>
        </w:rPr>
        <w:t>所参与“一带一路”教育行动计划，建立健全“一带一路”人才培养高职院校协作机制，塑造“留学常州”教育品牌，推动常大泰国研究中心和拉美文化研究中心等智库及合作办学项目建设。积极参与“健康丝绸之路”“数字丝绸之路”建设，面向“一带一路”沿线国家和地区举办常州文旅推介活动，建设中沙友谊文旅中心。</w:t>
      </w:r>
    </w:p>
    <w:p>
      <w:pPr>
        <w:spacing w:before="240" w:after="240" w:line="580" w:lineRule="exact"/>
        <w:jc w:val="center"/>
        <w:rPr>
          <w:rFonts w:hint="eastAsia" w:ascii="方正黑体_GBK" w:eastAsia="方正黑体_GBK"/>
          <w:sz w:val="32"/>
          <w:szCs w:val="32"/>
        </w:rPr>
      </w:pPr>
      <w:bookmarkStart w:id="105" w:name="_Toc55403989"/>
      <w:bookmarkStart w:id="106" w:name="_Toc58576674"/>
      <w:bookmarkStart w:id="107" w:name="_Hlk53659057"/>
      <w:r>
        <w:rPr>
          <w:rFonts w:hint="eastAsia" w:ascii="方正黑体_GBK" w:eastAsia="方正黑体_GBK"/>
          <w:sz w:val="32"/>
          <w:szCs w:val="32"/>
        </w:rPr>
        <w:t>第十三章  争当全面深化改革表率</w:t>
      </w:r>
      <w:bookmarkEnd w:id="105"/>
      <w:bookmarkEnd w:id="106"/>
    </w:p>
    <w:bookmarkEnd w:id="107"/>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坚持全面深化改革，聚焦重点领域和关键环节，鼓励探索性创新性引领性实践，增强改革的系统性整体性协同性，持续激发高质量发展和现代化建设动力。</w:t>
      </w:r>
    </w:p>
    <w:p>
      <w:pPr>
        <w:spacing w:before="240" w:after="240" w:line="580" w:lineRule="exact"/>
        <w:jc w:val="center"/>
        <w:rPr>
          <w:rFonts w:ascii="方正楷体_GBK" w:eastAsia="方正楷体_GBK"/>
          <w:sz w:val="32"/>
          <w:szCs w:val="32"/>
        </w:rPr>
      </w:pPr>
      <w:bookmarkStart w:id="108" w:name="_Toc55403990"/>
      <w:bookmarkStart w:id="109" w:name="_Toc58576675"/>
      <w:r>
        <w:rPr>
          <w:rFonts w:ascii="方正楷体_GBK" w:eastAsia="方正楷体_GBK"/>
          <w:sz w:val="32"/>
          <w:szCs w:val="32"/>
        </w:rPr>
        <w:t>第一节  打造一流营商环境</w:t>
      </w:r>
      <w:bookmarkEnd w:id="108"/>
      <w:bookmarkEnd w:id="109"/>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营造高效便捷的政务环境。奋力跻身全国营商环境最优城市行列，持续深化基层整合审批服务执法力量改革，提优“畅通办”服务品牌，打造市、辖市（区）、乡镇（街道）、村（社区）“线上线下”一体联动、深度融合的政务服务体系，全面推进“证照分离”改革，实现审批监管联动，深化政务服务“一网通办、一门全办”品牌。加大向各类开发区放权力度，实现“企业办事不出园区”。完善政府采购平台建设，健全“互联网+”招标机制，建立互联互通的电子招投标系统，简化优化招投标流程，扩大面向中小微企业采购。高质量推进工程建设项目审批专项改革，依托一体化在线政务服务平台全面实现建设领域各个平台互联互通，打造“全链条、全覆盖”工程项目审批体系。推进不动产登记交易专项改革，深化“互联网+不动产登记”，推动“融E办”品牌优化升级。完善营商环境“好差评”制度。</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营造优质规范的市场环境。增强综合金融服务平台常州子平台服务功能，扩大平台业务覆盖面，降低实体经济融资成本；推进多层次金融顾问服务机制建设，开展常态化的线下走访和线上辅导相结合的融资对接工作，提高金融服务质量和服务效率。全面提升居民和企业水电气获取便利度，打造线上办理服务新模式，实现同城异地业务联办。完善民生领域社会信用体系，加快信用信息共享，强化失信风险预警。优化口岸通关流程和作业方式，提升口岸监管信息化智能化水平，推进“单一窗口”全面应用，探索在综保区率先试行“电子围网监管”，提高跨境贸易便利化程度。</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创优公正透明的法治环境。建设完善“互联网+监管”系统，构建高效综合执法体系，全面推进“双随机一公开”监管、联合监管、非现场监管和智慧监管。对新产业新业态新模式实施包容审慎监管，细化行政执法自由裁量基准，探索建立“豁免清单”制度，推行柔性监管执法。优化“办理破产”资源配置效率，推进破产案件繁简分流，探索试行自然人破产制度，建立信用修复机制。完善互联网信息等数字知识产权财产权益保护和公平竞争制度，加大商业秘密侵权行为打击力度，依法降低打击商业秘密侵犯行为行政执法证据要求。深化“法企同行”活动，完善法企对接机制，加快涉外律师培养。</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创新包容开放的社会环境。构建亲清新型政商关系，建立企业信息直报等制度，健全党委政府与企业家定期沟通机制，探索设立重点企业联络专员。深化“减放转”专项改革，扩大企业经营自主权，推动“非禁即入”全面施行，持续做好清费减负，营造清朗价费环境。建设“一网通办”涉外服务专窗，建立完善外资企业服务平台。探索完善外籍高层次人才居留便利和紧缺人才职业清单制度。</w:t>
      </w:r>
    </w:p>
    <w:p>
      <w:pPr>
        <w:spacing w:before="240" w:after="240" w:line="580" w:lineRule="exact"/>
        <w:jc w:val="center"/>
        <w:rPr>
          <w:rFonts w:ascii="方正楷体_GBK" w:eastAsia="方正楷体_GBK"/>
          <w:sz w:val="32"/>
          <w:szCs w:val="32"/>
        </w:rPr>
      </w:pPr>
      <w:bookmarkStart w:id="110" w:name="_Toc55403991"/>
      <w:bookmarkStart w:id="111" w:name="_Toc58576676"/>
      <w:r>
        <w:rPr>
          <w:rFonts w:ascii="方正楷体_GBK" w:eastAsia="方正楷体_GBK"/>
          <w:sz w:val="32"/>
          <w:szCs w:val="32"/>
        </w:rPr>
        <w:t>第二节  完善要素市场化配置体制机制</w:t>
      </w:r>
      <w:bookmarkEnd w:id="110"/>
      <w:bookmarkEnd w:id="111"/>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高标准建设各类要素市场。推进土地要素市场化配置，完善国有建设用地转让、出租、抵押二级市场，健全长期租赁、先租后让、弹性供应、作价出资（入股）等工业用地市场供应体系，</w:t>
      </w:r>
      <w:r>
        <w:rPr>
          <w:rFonts w:eastAsia="方正仿宋_GBK"/>
          <w:snapToGrid w:val="0"/>
          <w:kern w:val="0"/>
          <w:sz w:val="32"/>
          <w:szCs w:val="32"/>
        </w:rPr>
        <w:t>探索实行混合用地、新型产业用地等政策。</w:t>
      </w:r>
      <w:r>
        <w:rPr>
          <w:rFonts w:eastAsia="方正仿宋_GBK"/>
          <w:bCs/>
          <w:snapToGrid w:val="0"/>
          <w:kern w:val="0"/>
          <w:sz w:val="32"/>
          <w:szCs w:val="32"/>
        </w:rPr>
        <w:t>引导劳动力要素合理畅通有序流动，畅通人力资源社会性流动渠道，健全统一规范的人力资源市场体系，探索适应新技术、新业态、新产业、新模式发展需要的特殊工时管理制度。加快培育数据要素市场，探索完善数据产权制度，试点推进政府数据开放共享，制定出台新一批数据共享责任清单，支持构建重点领域规范化数据开发利用场景，率先建立统一规范的数据管理制度，完善制定数据隐私保护制度、安全审查制度，探索开展数据生产要素统计核算试点。</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加快要素价格市场化改革。深化产权制度改革，科学界定各类生产要素产权归属，完善产权交易制度，构建归属清晰、权责明确、保护严格、流转顺畅的现代产权制度。完善主要由市场决定价格的机制，加强要素价格管理和监督，构建要素价格公示和动态监测预警体系，逐步建立要素价格调查和信息发布制度，完善要素市场价格异常波动调节机制。建立健全要素市场评价贡献机制，探索完善生产要素由市场评价贡献、按贡献决定报酬的机制。</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健全要素市场运行机制。健全要素市场化交易平台，拓展公共资源交易平台功能，探索建立自然资源资产交易平台。完善大数据、生态价值、知识产权和科技成果产权市场化定价和交易机制。完善要素交易规则和服务，率先研究制定新兴要素交易管理制度，推行全流程电子化交易，推动实物资产证券化，形成涵盖产权界定、价格评估、流转交易、担保、保险等业务的综合服务体系。提升要素交易监管水平，规范交易行为，健全投诉举报查处机制，完善交易风险防范处置机制。增强要素应急配置能力，适应应急物资生产调配和应急管理需要，建立对相关生产要素的紧急调拨、采购等制度。</w:t>
      </w:r>
    </w:p>
    <w:p>
      <w:pPr>
        <w:spacing w:before="240" w:after="240" w:line="580" w:lineRule="exact"/>
        <w:jc w:val="center"/>
        <w:rPr>
          <w:rFonts w:ascii="方正楷体_GBK" w:eastAsia="方正楷体_GBK"/>
          <w:sz w:val="32"/>
          <w:szCs w:val="32"/>
        </w:rPr>
      </w:pPr>
      <w:bookmarkStart w:id="112" w:name="_Toc58576677"/>
      <w:bookmarkStart w:id="113" w:name="_Toc55403992"/>
      <w:r>
        <w:rPr>
          <w:rFonts w:ascii="方正楷体_GBK" w:eastAsia="方正楷体_GBK"/>
          <w:sz w:val="32"/>
          <w:szCs w:val="32"/>
        </w:rPr>
        <w:t>第三节  深化重点领域关键环节改革</w:t>
      </w:r>
      <w:bookmarkEnd w:id="112"/>
      <w:bookmarkEnd w:id="113"/>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加快政府职能深刻转变。</w:t>
      </w:r>
      <w:r>
        <w:rPr>
          <w:rFonts w:eastAsia="方正仿宋_GBK"/>
          <w:bCs/>
          <w:snapToGrid w:val="0"/>
          <w:kern w:val="0"/>
          <w:sz w:val="32"/>
          <w:szCs w:val="32"/>
        </w:rPr>
        <w:t>巩固拓展机构改革成果，推进机构、职能、权限、程序、责任法定化，优化政府决策、执行、组织、监督体制，完善分工协作机制，优化归口管理机制，理顺权责关系。完善政府市场监管、社会管理、公共服务、生态环境保护等职能，落实政府权责清单制度，依据法律法规对清单实行动态调整，厘清政府和市场、政府和社会关系。深化财税体制改革，推进预算管理领域“放管服”，完善市区财政管理体制，研究制定市级与区级财政事权和支出责任划分改革实施方案及基本公共服务领域子方案，促进绩效管理融入预算编制、执行、监督、决算全过程。优化土地收益分配机制。</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激发市场主体活力。推进“两个健康先行区”建设，健全支持民营经济发展服务保障体系，全面落实纾困惠企政策，深入开展向民营企业家“送政策、送温暖、送服务”活动，依法保护民营企业及企业家合法权益；制定民营经济代表人士队伍建设规划，扎实推进新一轮民营企业家队伍建设“百千万工程”；健全党政领导干部联系企业家制度，完善民营企业家意见建议受理办理工作机制，落实亲清政商关系正负面清单；完善民营企业融资增信支持体系，健全民营企业直接融资支持制度；构建降本减负长效机制，健全支持中小企业发展制度和服务体系。深化国资国企改革，推进国有资本优化重组，稳妥推进国有企业混合所有制改革，支持国有企业上市，持续深化国企“三项制度”改革，探索与企业市场地位和业绩贡献相匹配、与考核结果紧密挂钩、增量业绩决定增量激励的薪酬分配和长效激励约束机制。</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优化地方金融创新发展机制。</w:t>
      </w:r>
      <w:r>
        <w:rPr>
          <w:rFonts w:eastAsia="方正仿宋_GBK"/>
          <w:snapToGrid w:val="0"/>
          <w:kern w:val="0"/>
          <w:sz w:val="32"/>
          <w:szCs w:val="32"/>
        </w:rPr>
        <w:t>实施上市企业倍增计划，</w:t>
      </w:r>
      <w:r>
        <w:rPr>
          <w:rFonts w:eastAsia="方正仿宋_GBK"/>
          <w:bCs/>
          <w:snapToGrid w:val="0"/>
          <w:kern w:val="0"/>
          <w:sz w:val="32"/>
          <w:szCs w:val="32"/>
        </w:rPr>
        <w:t>完善股改上市、兼并重组激励政策，持续创优企业上市生态，上市企业数实现翻番，推动地方性产权、股权交易市场健康发展。鼓励有条件企业通过在境内外市场发行债券，拓宽融资渠道，优化债务结构，降低融资成本。支持地方法人金融机构做强做优，增加有效金融服务供给。切实提升先进制造业集群、科技型企业和重大项目的融资能力，支持企业统筹使用多种融资工具，集约运用多个市场资源。进一步优化金融营商环境，加强金融对实体经济特别是民营小微企业支持，健全银行业金融机构服务“双创”“三农”的激励机制，增强金融普惠性。探索“互联网+监管”与包容审慎监管，推进地方征信体系建设，鼓励征信公司创新产品，加快发展以政府融资担保机构为主体的融资担保体系，切实缓解中小微企业融资难担保难问题。</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推进社会发展领域综合改革。</w:t>
      </w:r>
      <w:r>
        <w:rPr>
          <w:rFonts w:eastAsia="方正仿宋_GBK"/>
          <w:bCs/>
          <w:snapToGrid w:val="0"/>
          <w:kern w:val="0"/>
          <w:sz w:val="32"/>
          <w:szCs w:val="32"/>
        </w:rPr>
        <w:t>加快教育管理体制改革，建立教育资源共建共享机制，深化高中教育市级统筹试点改革，积极争取扩大在常高等学校、职业院校办学自主权，开展高水平中外合作办学。深化医药卫生体制改革，持续深化医保医疗支付方式改革，全面推行以按病种付费为主的多元复合式医保支付方式，深入推进按疾病诊断相关分组（DRGs）付费省级试点，推进异地就医直接结算，建立医保支付与医药服务协同发展机制。</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创新生态文明建设体制机制。</w:t>
      </w:r>
      <w:r>
        <w:rPr>
          <w:rFonts w:eastAsia="方正仿宋_GBK"/>
          <w:bCs/>
          <w:snapToGrid w:val="0"/>
          <w:kern w:val="0"/>
          <w:sz w:val="32"/>
          <w:szCs w:val="32"/>
        </w:rPr>
        <w:t>加快构建现代化生态环境治理体系，健全环境治理责任体系，实施环境治理全民行动，强化环境治理监管、司法保障与监测能力，健全环境治理市场体系与信用体系。开展生态空间自然资源确权登记，探索扩大生态系统服务价值核算范围。开展自然生态空间用途管制试点，优化用地用林审批机制，探索建设用地使用权地上、地表、地下分设。建立健全生态产品价值实现机制，完善多元化生态补偿机制，全面构建以排污许可制为核心的固定污染源“一证式”管理制度和全域总量控制协调机制。实行二氧化碳排放许可、地下水抽采许可、生态用地和耕地占用许可等制度，推进用水权、排污权、碳排放权等市场交易平台建设，探索设立生态银行。推动共建长三角一体化生态创新试验区，支持溧阳开展生态资源交易试点，建设生态资源交易平台。</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加强改革系统集成。加强改革目标集成、政策集成、效果集成，推动改革从单兵突进向整体协同转变，加强跨区域跨领域跨部门协同，强化试点示范，探索综合性、集成性、引领性改革路径，创造体制机制新优势，塑造常州特色的改革新经验新品牌。持续深化新北集成改革试点，支持天宁和钟楼共同探索老城区基层社会治理新模式、产城融合发展综合改革、现代服务产业生态系统建设，支持武进在农村土地制度“三项改革”试点基础上全面深化农业农村改革，支持经开区创新推进村级工业园区改造提升，支持金坛和溧阳协同创新城乡融合发展体制机制，支持溧阳加大生态创新改革力度。</w:t>
      </w:r>
    </w:p>
    <w:p>
      <w:pPr>
        <w:adjustRightInd w:val="0"/>
        <w:snapToGrid w:val="0"/>
        <w:spacing w:line="570" w:lineRule="exact"/>
        <w:ind w:firstLine="640" w:firstLineChars="200"/>
        <w:rPr>
          <w:rFonts w:eastAsia="方正仿宋_GBK"/>
          <w:bCs/>
          <w:snapToGrid w:val="0"/>
          <w:kern w:val="0"/>
          <w:sz w:val="32"/>
          <w:szCs w:val="32"/>
        </w:rPr>
        <w:sectPr>
          <w:headerReference r:id="rId3" w:type="default"/>
          <w:footerReference r:id="rId4" w:type="default"/>
          <w:footerReference r:id="rId5" w:type="even"/>
          <w:pgSz w:w="11906" w:h="16838"/>
          <w:pgMar w:top="2098" w:right="1531" w:bottom="1985" w:left="1531" w:header="709" w:footer="1361" w:gutter="0"/>
          <w:pgNumType w:start="1"/>
          <w:cols w:space="0" w:num="1"/>
          <w:docGrid w:type="lines" w:linePitch="312" w:charSpace="0"/>
        </w:sectPr>
      </w:pPr>
      <w:r>
        <w:rPr>
          <w:rFonts w:eastAsia="方正仿宋_GBK"/>
          <w:bCs/>
          <w:snapToGrid w:val="0"/>
          <w:kern w:val="0"/>
          <w:sz w:val="32"/>
          <w:szCs w:val="32"/>
        </w:rPr>
        <w:t>推动军民融合深度发展。创新军民融合发展模式，构建有效的军民协同创新机制，推动国防动员体系提质增效，推动交通基础设施军民共建军地两用，推进城市生命线工程平战结合，提升常州碳纤维及复合材料产业园、天宁军民融合产业园等省、市军民融合产业示范园区发展水平，围绕高端装备、新材料、新一代信息技术等优势产业，建设国内具有影响力的军民融合高端产业发展集聚区。到2025年，军民融合产业主营业务收入突破500亿元，军民融合发展水平居全省前列。</w:t>
      </w:r>
    </w:p>
    <w:p>
      <w:pPr>
        <w:spacing w:line="580" w:lineRule="exact"/>
        <w:jc w:val="center"/>
        <w:rPr>
          <w:rFonts w:hint="eastAsia" w:ascii="方正小标宋_GBK" w:eastAsia="方正小标宋_GBK"/>
          <w:sz w:val="44"/>
          <w:szCs w:val="44"/>
        </w:rPr>
      </w:pPr>
      <w:bookmarkStart w:id="114" w:name="_Toc58576678"/>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第五篇  建设美丽常州</w:t>
      </w:r>
      <w:bookmarkEnd w:id="114"/>
    </w:p>
    <w:p>
      <w:pPr>
        <w:spacing w:line="580" w:lineRule="exact"/>
        <w:jc w:val="center"/>
        <w:rPr>
          <w:rFonts w:hint="eastAsia" w:ascii="方正小标宋_GBK" w:eastAsia="方正小标宋_GBK"/>
          <w:sz w:val="44"/>
          <w:szCs w:val="44"/>
        </w:rPr>
      </w:pPr>
    </w:p>
    <w:p>
      <w:pPr>
        <w:spacing w:after="240" w:line="580" w:lineRule="exact"/>
        <w:jc w:val="center"/>
        <w:rPr>
          <w:rFonts w:hint="eastAsia" w:ascii="方正黑体_GBK" w:eastAsia="方正黑体_GBK"/>
          <w:sz w:val="32"/>
          <w:szCs w:val="32"/>
        </w:rPr>
      </w:pPr>
      <w:bookmarkStart w:id="115" w:name="_Toc58576679"/>
      <w:r>
        <w:rPr>
          <w:rFonts w:hint="eastAsia" w:ascii="方正黑体_GBK" w:eastAsia="方正黑体_GBK"/>
          <w:sz w:val="32"/>
          <w:szCs w:val="32"/>
        </w:rPr>
        <w:t>第十四章  打造宜居美丽明星城</w:t>
      </w:r>
      <w:bookmarkEnd w:id="115"/>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生态优先、绿色发展，系统推进发展方式转型、资源高效利用、生态环境修复治理与宜居城乡建设，加快推动形成人与自然和谐发展、经济与生态相互促进新格局，全面推进生态环境治理体系和治理能力现代化，全力建设宜居美丽明星城。</w:t>
      </w:r>
    </w:p>
    <w:p>
      <w:pPr>
        <w:spacing w:before="240" w:after="240" w:line="580" w:lineRule="exact"/>
        <w:jc w:val="center"/>
        <w:rPr>
          <w:rFonts w:ascii="方正楷体_GBK" w:eastAsia="方正楷体_GBK"/>
          <w:sz w:val="32"/>
          <w:szCs w:val="32"/>
        </w:rPr>
      </w:pPr>
      <w:bookmarkStart w:id="116" w:name="_Toc55403954"/>
      <w:bookmarkStart w:id="117" w:name="_Toc58576680"/>
      <w:r>
        <w:rPr>
          <w:rFonts w:ascii="方正楷体_GBK" w:eastAsia="方正楷体_GBK"/>
          <w:sz w:val="32"/>
          <w:szCs w:val="32"/>
        </w:rPr>
        <w:t>第一节</w:t>
      </w:r>
      <w:bookmarkEnd w:id="116"/>
      <w:r>
        <w:rPr>
          <w:rFonts w:ascii="方正楷体_GBK" w:eastAsia="方正楷体_GBK"/>
          <w:sz w:val="32"/>
          <w:szCs w:val="32"/>
        </w:rPr>
        <w:t xml:space="preserve">  实施生态系统保护修复行动</w:t>
      </w:r>
      <w:bookmarkEnd w:id="117"/>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构筑生态安全屏障。构建生产空间集约高效、生活空间宜居适度、生态空间山清水秀、可持续发展的高品质空间布局，形成“一江带三湖，九龙串城池，青山护绿城，河网绕圩田”的美丽常州市域山水城格局。强化国土空间规划和用途管控，统筹划定落实生态保护红线、永久基本农田、城镇开发边界三条控制线，严格落实耕地保护制度和“三线一单”生态环境分区管控体系，探索规划“留白”制度。</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专栏14-1</w:t>
            </w:r>
            <w:r>
              <w:rPr>
                <w:rFonts w:hint="eastAsia" w:eastAsia="方正仿宋_GBK"/>
                <w:snapToGrid w:val="0"/>
                <w:kern w:val="0"/>
                <w:sz w:val="28"/>
                <w:szCs w:val="28"/>
              </w:rPr>
              <w:t xml:space="preserve">  </w:t>
            </w:r>
            <w:r>
              <w:rPr>
                <w:rFonts w:eastAsia="方正仿宋_GBK"/>
                <w:snapToGrid w:val="0"/>
                <w:kern w:val="0"/>
                <w:sz w:val="28"/>
                <w:szCs w:val="28"/>
              </w:rPr>
              <w:t>“一江带三湖，九龙串城池，青山护绿城，河网绕圩田”</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“一江”：长江水生态廊道，加强长江水体、岸线、洲滩湿地、录安洲等保护，推进沿岸生态一体化保护、系统修复和综合治理；</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“两山”：依托宜溧山脉和茅山山脉构建两片生态保护区，提高林地保护利用效率，推进矿山修复，增强水土保持和生物多样性保护能力；</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“三湖”：太湖、</w:t>
            </w:r>
            <w:r>
              <w:rPr>
                <w:rFonts w:eastAsia="方正仿宋_GBK"/>
                <w:snapToGrid w:val="0"/>
                <w:kern w:val="0"/>
                <w:sz w:val="28"/>
                <w:szCs w:val="28"/>
              </w:rPr>
              <w:t>滆</w:t>
            </w:r>
            <w:r>
              <w:rPr>
                <w:rFonts w:eastAsia="方正仿宋_GBK"/>
                <w:bCs/>
                <w:snapToGrid w:val="0"/>
                <w:kern w:val="0"/>
                <w:sz w:val="28"/>
                <w:szCs w:val="28"/>
              </w:rPr>
              <w:t>湖和长荡湖水生态涵养区，加强水体和滨湖湿地保护，稳步推进退圩还湖，提高水源涵养功能；</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“九廊”：依托京杭运河、通济河—尧塘河—夏溪河—武南河、薛埠河—北干河—太</w:t>
            </w:r>
            <w:r>
              <w:rPr>
                <w:rFonts w:eastAsia="方正仿宋_GBK"/>
                <w:snapToGrid w:val="0"/>
                <w:kern w:val="0"/>
                <w:sz w:val="28"/>
                <w:szCs w:val="28"/>
              </w:rPr>
              <w:t>滆</w:t>
            </w:r>
            <w:r>
              <w:rPr>
                <w:rFonts w:eastAsia="方正仿宋_GBK"/>
                <w:bCs/>
                <w:snapToGrid w:val="0"/>
                <w:kern w:val="0"/>
                <w:sz w:val="28"/>
                <w:szCs w:val="28"/>
              </w:rPr>
              <w:t>运河、南河、新孟河、丹金溧漕河、德胜河—新武宜运河、澡港河—采菱港—永安河、新沟河等河道建设生态廊道，提高生态连通性。</w:t>
            </w:r>
          </w:p>
        </w:tc>
      </w:tr>
    </w:tbl>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推进山水林田湖草系统治理。加强生态环境分区管治，强化生态红线、重要生态空间管控区域保护和修复。推进林地、绿地、湿地、自然保护地“四地”同建，科学编制自然资源整治修复规划，开展山水林田湖草一体化整治修复工作，加强生态保护和修复试点建设，因地制宜建设生态安全缓冲区，开展国土空间全域综合整治试点，推进新北沿江地区国土空间生态整治工程建设。实施绿色矿山创建行动，强化矿山治理和综合利用。系统推进水资源开发、水生态保护、水环境提升、水安全保障和水文化建设，增强水资源供给保障。推进“林长制”，开展国土绿化行动，实施低效林改造和退化防护林修复，探索开展林相改造，推进森林资源增长向适地适树、量质并举转变。深化农地综合整治和土地复垦工作，开展水土保持小流域治理。推进江河湖泊系统整治，实施湿地修复治理工程，完善湿地生态功能，促进水体休养生息。</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持续加强生态绿城建设。重点推进翠竹、北环、五星、红星、茶山、牛塘、湖塘等片区生态绿道网络建设，提高主城区京杭大运河沿岸、西太湖大道南侧、丽华兰陵片区、红星片区，金坛金沙、东城片区，溧阳昆仑、溧西分区的公园绿地覆盖率。围绕长江、太湖湾、横山-黄天荡等生态源，实施针对性复绿、退耕还湿、生态治理等工程。围绕长江、运河等敏感水体，建设净化型生态安全缓冲区。规划建设运河文化公园。</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生物多样性保育。实施生物多样性保护战略与行动计划，完善公众参与机制。加强林木种质资源保护与利用，加大国家重点保护野生植物和古树名木保护力度。实施珍稀濒危物种拯救行动，加大各类濒危保护动植物及其生存环境的保护力度，全面推进长江和太湖流域增殖放流和禁捕退捕工作。加强野生动物疫源疫病监测防控，防</w:t>
      </w:r>
      <w:r>
        <w:rPr>
          <w:rFonts w:hint="eastAsia" w:eastAsia="方正仿宋_GBK"/>
          <w:snapToGrid w:val="0"/>
          <w:kern w:val="0"/>
          <w:sz w:val="32"/>
          <w:szCs w:val="32"/>
        </w:rPr>
        <w:t>止</w:t>
      </w:r>
      <w:r>
        <w:rPr>
          <w:rFonts w:eastAsia="方正仿宋_GBK"/>
          <w:snapToGrid w:val="0"/>
          <w:kern w:val="0"/>
          <w:sz w:val="32"/>
          <w:szCs w:val="32"/>
        </w:rPr>
        <w:t>各类外来有害物种入侵。</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专栏14-2</w:t>
            </w:r>
            <w:r>
              <w:rPr>
                <w:rFonts w:hint="eastAsia" w:eastAsia="方正仿宋_GBK"/>
                <w:snapToGrid w:val="0"/>
                <w:kern w:val="0"/>
                <w:sz w:val="28"/>
                <w:szCs w:val="28"/>
              </w:rPr>
              <w:t xml:space="preserve">  </w:t>
            </w:r>
            <w:r>
              <w:rPr>
                <w:rFonts w:eastAsia="方正仿宋_GBK"/>
                <w:snapToGrid w:val="0"/>
                <w:kern w:val="0"/>
                <w:sz w:val="28"/>
                <w:szCs w:val="28"/>
              </w:rPr>
              <w:t>生态保护修复重点工程</w:t>
            </w:r>
          </w:p>
          <w:p>
            <w:pPr>
              <w:adjustRightInd w:val="0"/>
              <w:snapToGrid w:val="0"/>
              <w:spacing w:line="440" w:lineRule="exact"/>
              <w:ind w:firstLine="560" w:firstLineChars="200"/>
              <w:rPr>
                <w:rFonts w:eastAsia="方正仿宋_GBK"/>
                <w:snapToGrid w:val="0"/>
                <w:kern w:val="0"/>
                <w:sz w:val="28"/>
                <w:szCs w:val="28"/>
              </w:rPr>
            </w:pPr>
            <w:r>
              <w:rPr>
                <w:rFonts w:eastAsia="方正仿宋_GBK"/>
                <w:snapToGrid w:val="0"/>
                <w:kern w:val="0"/>
                <w:sz w:val="28"/>
                <w:szCs w:val="28"/>
              </w:rPr>
              <w:t>滆</w:t>
            </w:r>
            <w:r>
              <w:rPr>
                <w:rFonts w:eastAsia="方正仿宋_GBK"/>
                <w:bCs/>
                <w:snapToGrid w:val="0"/>
                <w:kern w:val="0"/>
                <w:sz w:val="28"/>
                <w:szCs w:val="28"/>
              </w:rPr>
              <w:t>湖退田还湖二期工程、长荡湖（溧阳）退圩还湖及全域旅游综合开发、金坛长荡湖国家湿地公园、安徽与溧阳交界区域洙漕河湿地建设工程、新运河生态廊道建设（一期）工程、三山港生态廊道、滨开区生态整治提升工程（江边污水厂南侧湿地）、黄天荡生态修复治理工程、常州新北沿江地区国土空间生态整治工程、金坛朱林镇等国土空间全域综合整治工程。</w:t>
            </w:r>
          </w:p>
        </w:tc>
      </w:tr>
    </w:tbl>
    <w:p>
      <w:pPr>
        <w:spacing w:before="240" w:after="240" w:line="580" w:lineRule="exact"/>
        <w:jc w:val="center"/>
        <w:rPr>
          <w:rFonts w:ascii="方正楷体_GBK" w:eastAsia="方正楷体_GBK"/>
          <w:sz w:val="32"/>
          <w:szCs w:val="32"/>
        </w:rPr>
      </w:pPr>
      <w:bookmarkStart w:id="118" w:name="_Toc55403955"/>
      <w:bookmarkStart w:id="119" w:name="_Toc58576681"/>
      <w:r>
        <w:rPr>
          <w:rFonts w:ascii="方正楷体_GBK" w:eastAsia="方正楷体_GBK"/>
          <w:sz w:val="32"/>
          <w:szCs w:val="32"/>
        </w:rPr>
        <w:t>第二节</w:t>
      </w:r>
      <w:bookmarkEnd w:id="118"/>
      <w:r>
        <w:rPr>
          <w:rFonts w:ascii="方正楷体_GBK" w:eastAsia="方正楷体_GBK"/>
          <w:sz w:val="32"/>
          <w:szCs w:val="32"/>
        </w:rPr>
        <w:t xml:space="preserve">  实施污染防治强化攻坚行动</w:t>
      </w:r>
      <w:bookmarkEnd w:id="11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攻坚大气污染防治。推进多污染物协调控制和区域协调治理，突出细颗粒物（PM2.5）和臭氧协同控制，严格落实“双控双减”，全面执行大气污染物特别排放限值，加强氮氧化物与挥发性有机化合物减排防控，确保主要污染物排放总量持续下降。深入推进“散乱污”企业整治，实施重点行业超低排放改造工程，推进工业污染源全面达标排放。优化能源结构，实施非电行业燃煤总量控制。优化调整运输结构，加快车船结构升级，加强机动车尾气排放精细化管理，深化非道路移动源污染防治。深化建筑工地、堆场码头和城市扬尘管控，整治餐饮业油烟污染，加强秸秆综合利用和禁烧，确保禁放区域烟花爆竹全天候禁放。开展“绿岛”建设试点。强化区域协作联防联控，完善重污染天气跨区域应急响应机制和重大活动空气质量保障机制。</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攻坚水污染防治。完善重点流域产业准入负面清单，持续实施长江（太湖）入河排污口排查整治专项行动，确保入江断面、入太河道水质稳定达标。全面落实“河长制”“湖长制”“断面长制”，实施小流域综合治理，推进三山港等重点河流环境综合治理，加强太湖、长荡湖、滆湖水生态环境综合整治，实施氮磷生态拦截工程，有效削减氮磷污染负荷，提升支流支浜水环境质量，开展城市末梢治理，逐段打通城区断头浜，基本消除建成区劣Ⅴ类河道。持续推动船舶环保设施改造，推进船舶污染物上岸接收处理设施建设，分批淘汰低标准船舶。实施农业面源污染治理工程，严格执行畜禽养殖分区管理，加大种植业和水产养殖业污染削减力度。加快立法进程，提高水污染防治法治化水平。</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土壤和地下水污染控制与治理。强化土壤污染源头预防、调查评估和风险管控，开展土壤污染加密调查、溯源调查，构建土壤污染环境基础数据库。开展土壤污染治理与修复，推进重点行业、重点区域土壤风险管控，推进农田土壤修复与综合治理试点示范，开展关闭搬迁遗留化工地块和土壤详查初步采样地块的修复和风险管控工作，推进关停简易垃圾填埋场的土壤、地下水环境调查。推进土壤污染风险防控技术应用试点项目、土壤污染防治综合先行区建设。加强污染土地安全利用管理。</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攻坚固废危废治理。深入实施固废减量化、无害化、资源化工程，强化源头管控，控制固体废物增量，加强白色污染治理，推进“无废城市”试点建设。优化一般工业废物、建筑垃圾处理模式，推进郑陆镇危险废物集中处置中心、金坛建筑垃圾处置中心建设。增强生活垃圾处置能力，推进市生活废弃物处理中心续建四期工程、市生活垃圾应急（飞灰）填埋场等建设。开展农业废弃物资源化利用试点，加强秸秆等源头减量和资源化利用，推广农药包装废弃物和废旧农膜回收装置。加强危险废物医疗废物收集处理，构建线上线下融合的废旧资源回收和循环利用体系，集聚发展大宗固体废弃物综合利用产业。严厉打击危险废物环境违法犯罪行为，开展危险废物专项整治。</w:t>
      </w:r>
    </w:p>
    <w:p>
      <w:pPr>
        <w:adjustRightInd w:val="0"/>
        <w:snapToGrid w:val="0"/>
        <w:spacing w:line="570" w:lineRule="exact"/>
        <w:ind w:firstLine="640" w:firstLineChars="200"/>
        <w:rPr>
          <w:rFonts w:hint="eastAsia" w:eastAsia="方正仿宋_GBK"/>
          <w:snapToGrid w:val="0"/>
          <w:kern w:val="0"/>
          <w:sz w:val="32"/>
          <w:szCs w:val="32"/>
        </w:rPr>
      </w:pPr>
      <w:r>
        <w:rPr>
          <w:rFonts w:eastAsia="方正仿宋_GBK"/>
          <w:snapToGrid w:val="0"/>
          <w:kern w:val="0"/>
          <w:sz w:val="32"/>
          <w:szCs w:val="32"/>
        </w:rPr>
        <w:t>提升环境治理能力。实施生态环境大数据中心、“环保云”平台建设工程，优化生态环境监测“一张网”。统筹推进重点污染物收集处置、监测监控、应急处置和执法监管等能力建设，完善重点化工园区有毒有害气体环境风险预警体系，开展乡镇区域供水水源保护范围内的环境风险排查工程，完成重点地区危险化学品生产企业搬迁改造；强化化学品环境风险评估，组织实施废铅蓄电池污染防治行动，开展环境激素、抗生素等新污染物治理。完善跨部门、跨区域环境风险评估和应急协调联动机制，确保不发生大规模环境污染损害健康事件。</w:t>
      </w:r>
    </w:p>
    <w:tbl>
      <w:tblPr>
        <w:tblStyle w:val="6"/>
        <w:tblW w:w="85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8522" w:type="dxa"/>
            <w:noWrap w:val="0"/>
            <w:vAlign w:val="top"/>
          </w:tcPr>
          <w:p>
            <w:pPr>
              <w:adjustRightInd w:val="0"/>
              <w:snapToGrid w:val="0"/>
              <w:spacing w:line="440" w:lineRule="exact"/>
              <w:jc w:val="center"/>
              <w:rPr>
                <w:rFonts w:hint="eastAsia" w:eastAsia="方正仿宋_GBK"/>
                <w:snapToGrid w:val="0"/>
                <w:kern w:val="0"/>
                <w:sz w:val="28"/>
                <w:szCs w:val="28"/>
              </w:rPr>
            </w:pPr>
            <w:r>
              <w:rPr>
                <w:rFonts w:hint="eastAsia" w:eastAsia="方正仿宋_GBK"/>
                <w:snapToGrid w:val="0"/>
                <w:kern w:val="0"/>
                <w:sz w:val="28"/>
                <w:szCs w:val="28"/>
              </w:rPr>
              <w:t>专栏14-3  环境综合整治重点工程（项目）</w:t>
            </w:r>
          </w:p>
          <w:p>
            <w:pPr>
              <w:adjustRightInd w:val="0"/>
              <w:snapToGrid w:val="0"/>
              <w:spacing w:line="420" w:lineRule="exact"/>
              <w:ind w:firstLine="561"/>
              <w:rPr>
                <w:rFonts w:hint="eastAsia" w:eastAsia="方正仿宋_GBK"/>
                <w:snapToGrid w:val="0"/>
                <w:kern w:val="0"/>
                <w:sz w:val="28"/>
                <w:szCs w:val="28"/>
              </w:rPr>
            </w:pPr>
            <w:r>
              <w:rPr>
                <w:rFonts w:hint="eastAsia" w:eastAsia="方正仿宋_GBK"/>
                <w:snapToGrid w:val="0"/>
                <w:kern w:val="0"/>
                <w:sz w:val="28"/>
                <w:szCs w:val="28"/>
              </w:rPr>
              <w:t>大气污染物综合治理重点工程：挥发性有机物、臭氧防治技术科技攻关工程，重点行业低氮改造工程；</w:t>
            </w:r>
          </w:p>
          <w:p>
            <w:pPr>
              <w:adjustRightInd w:val="0"/>
              <w:snapToGrid w:val="0"/>
              <w:spacing w:line="420" w:lineRule="exact"/>
              <w:ind w:firstLine="561"/>
              <w:rPr>
                <w:rFonts w:hint="eastAsia" w:eastAsia="方正仿宋_GBK"/>
                <w:snapToGrid w:val="0"/>
                <w:kern w:val="0"/>
                <w:sz w:val="28"/>
                <w:szCs w:val="28"/>
              </w:rPr>
            </w:pPr>
            <w:r>
              <w:rPr>
                <w:rFonts w:hint="eastAsia" w:eastAsia="方正仿宋_GBK"/>
                <w:snapToGrid w:val="0"/>
                <w:kern w:val="0"/>
                <w:sz w:val="28"/>
                <w:szCs w:val="28"/>
              </w:rPr>
              <w:t>水生态环境综合治理重点工程：城东污水处理厂一期工程、市区污水系统提升优化工程；溧阳天目湖水环境综合治理工程、溧阳城镇污水处理提质增效达标区建设和全域农村生活污水专项整治工程；金坛工业污水处理厂、金坛第一污水处理厂移址新建、金坛金沙老城污水管网建设工程；西太湖科技产业园污水处理工程、草塘浜流域水环境综合整治工程；德胜河周边水环境提升工程、西源污水处理厂扩建工程，滨开区生态整治提升工程；邹区片区污水处理提升工程；</w:t>
            </w:r>
          </w:p>
          <w:p>
            <w:pPr>
              <w:adjustRightInd w:val="0"/>
              <w:snapToGrid w:val="0"/>
              <w:spacing w:line="430" w:lineRule="exact"/>
              <w:ind w:firstLine="561"/>
              <w:rPr>
                <w:rFonts w:hint="eastAsia" w:eastAsia="方正仿宋_GBK"/>
                <w:snapToGrid w:val="0"/>
                <w:kern w:val="0"/>
                <w:sz w:val="28"/>
                <w:szCs w:val="28"/>
              </w:rPr>
            </w:pPr>
            <w:r>
              <w:rPr>
                <w:rFonts w:hint="eastAsia" w:eastAsia="方正仿宋_GBK"/>
                <w:snapToGrid w:val="0"/>
                <w:kern w:val="0"/>
                <w:sz w:val="28"/>
                <w:szCs w:val="28"/>
              </w:rPr>
              <w:t>土壤环境治理攻坚重点工程：土壤环境基础数据库、土壤环境质量监测网络构建工程，土壤污染防治综合先行区建设项目，土壤污染风险防控技术应用试点项目；</w:t>
            </w:r>
          </w:p>
          <w:p>
            <w:pPr>
              <w:adjustRightInd w:val="0"/>
              <w:snapToGrid w:val="0"/>
              <w:spacing w:line="430" w:lineRule="exact"/>
              <w:ind w:firstLine="561"/>
              <w:rPr>
                <w:rFonts w:hint="eastAsia" w:eastAsia="方正仿宋_GBK"/>
                <w:snapToGrid w:val="0"/>
                <w:kern w:val="0"/>
                <w:sz w:val="28"/>
                <w:szCs w:val="28"/>
              </w:rPr>
            </w:pPr>
            <w:r>
              <w:rPr>
                <w:rFonts w:hint="eastAsia" w:eastAsia="方正仿宋_GBK"/>
                <w:snapToGrid w:val="0"/>
                <w:kern w:val="0"/>
                <w:sz w:val="28"/>
                <w:szCs w:val="28"/>
              </w:rPr>
              <w:t>固体废物“三化”重点工程：市生活废弃物处理中心续建四期工程、市生活垃圾应急（飞灰）填埋场建设工程、金坛建筑垃圾集中处置中心、金坛生活垃圾焚烧发电及飞灰库区项目、新北厨余垃圾处理建设工程、郑陆镇危险废物集中处置项目；</w:t>
            </w:r>
          </w:p>
          <w:p>
            <w:pPr>
              <w:adjustRightInd w:val="0"/>
              <w:snapToGrid w:val="0"/>
              <w:spacing w:line="430" w:lineRule="exact"/>
              <w:ind w:firstLine="561"/>
              <w:rPr>
                <w:rFonts w:hint="eastAsia" w:eastAsia="方正仿宋_GBK"/>
                <w:snapToGrid w:val="0"/>
                <w:kern w:val="0"/>
                <w:sz w:val="28"/>
                <w:szCs w:val="28"/>
              </w:rPr>
            </w:pPr>
            <w:r>
              <w:rPr>
                <w:rFonts w:hint="eastAsia" w:eastAsia="方正仿宋_GBK"/>
                <w:snapToGrid w:val="0"/>
                <w:kern w:val="0"/>
                <w:sz w:val="28"/>
                <w:szCs w:val="28"/>
              </w:rPr>
              <w:t>生态环境监测监控能力建设重点工程：环境质量自动监测网络工程、实验室标准化建设工程、应急监测标准化工程、环境问题溯源能力建设工程、生态环境监测监控信息化工程。</w:t>
            </w:r>
          </w:p>
        </w:tc>
      </w:tr>
    </w:tbl>
    <w:p>
      <w:pPr>
        <w:spacing w:before="240" w:after="240" w:line="580" w:lineRule="exact"/>
        <w:jc w:val="center"/>
        <w:rPr>
          <w:rFonts w:ascii="方正楷体_GBK" w:eastAsia="方正楷体_GBK"/>
          <w:sz w:val="32"/>
          <w:szCs w:val="32"/>
        </w:rPr>
      </w:pPr>
      <w:bookmarkStart w:id="120" w:name="_Toc55403956"/>
      <w:bookmarkStart w:id="121" w:name="_Toc58576682"/>
      <w:r>
        <w:rPr>
          <w:rFonts w:ascii="方正楷体_GBK" w:eastAsia="方正楷体_GBK"/>
          <w:sz w:val="32"/>
          <w:szCs w:val="32"/>
        </w:rPr>
        <w:t>第三节  实施美丽城乡</w:t>
      </w:r>
      <w:bookmarkEnd w:id="120"/>
      <w:r>
        <w:rPr>
          <w:rFonts w:ascii="方正楷体_GBK" w:eastAsia="方正楷体_GBK"/>
          <w:sz w:val="32"/>
          <w:szCs w:val="32"/>
        </w:rPr>
        <w:t>建设行动</w:t>
      </w:r>
      <w:bookmarkEnd w:id="121"/>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提升城镇人居品质。建设“公园城市”，不断优化、扩容和升级城乡绿地系统和公园体系布局。持续推进国家生态园林城市创建，积极开展“城市双修”，深入实施“增绿添园”工程，推进城市立体绿化，加大景观路、河岸、商业街区、交通枢纽等重要区域绿化建设和功能完善力度，打造常州“精美园林”，完善城市公园绿地和慢行绿道系统。到2025年，城市建成区绿化覆盖率达到40%以上。全面推行生活垃圾强制分类，实现生活垃圾分类设施全覆盖。强化“城市美学”理念，推进美丽宜居住区、街区与小城镇建设，有序推动老旧小区精细化改造，规划建设一批高颜值背街小巷，打造一批“一路一特色”精品示范街道。优化城镇生活服务布局，加快建设“15分钟社区服务圈”“10分钟公园绿地服务圈”“5分钟便民生活圈”等。</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专栏14-4</w:t>
            </w:r>
            <w:r>
              <w:rPr>
                <w:rFonts w:hint="eastAsia" w:eastAsia="方正仿宋_GBK"/>
                <w:snapToGrid w:val="0"/>
                <w:kern w:val="0"/>
                <w:sz w:val="28"/>
                <w:szCs w:val="28"/>
              </w:rPr>
              <w:t xml:space="preserve">  </w:t>
            </w:r>
            <w:r>
              <w:rPr>
                <w:rFonts w:eastAsia="方正仿宋_GBK"/>
                <w:snapToGrid w:val="0"/>
                <w:kern w:val="0"/>
                <w:sz w:val="28"/>
                <w:szCs w:val="28"/>
              </w:rPr>
              <w:t>城市公园绿地重点工程（项目）</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市管公园基础设施及安全整治提升工程，菱溪公园，兰陵片区绿地公园，皇粮浜生态居住区配套工程，溧阳美音城市公园，长沟河、大通河、里底河等沿河生态步道和景观工程，北区公园，沿长荡湖慢行系统及景观，月明湖公园。</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高质量推进未来社区建设。以群众美好生活新需求为导向，深度融合数字经济、社会治理、创新创业与生态文化，增强社区全生活链服务供给能力，规划建设一批和谐共治、绿色智慧的未来社区。推动未来社区创建与老旧小区综合整治、“大板房”专项治理、新建小区、绿色便捷美好生活圈、基层社会治理等有机结合，推广社区信息模型平台、智慧服务平台与数字安防系统，科学布局和系统营造未来邻里、教育、健康、交通、建筑、服务和治理等现实场景，探索分类推进居住生活型、产业服务型、生态文旅型未来社区建设。支持高铁新城等率先开展未来社区规划建设。对客车厂片区实施整体开发，联动中医院打造现代康养社区。</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深化农村人居环境整治。全面推行农村河道、道路交通、绿化美化、环境保洁、公共设施“五位一体”综合管护，健全农村人居环境长效管护机制。推行农村生活垃圾就地分类和资源化利用，全面建立“户分类投放、村分拣收集、镇回收清运、有机垃圾生态处理”的分类收集处理体系，实现行政村生活垃圾分类设施全覆盖。大力推进农村地区水环境综合整治和长效管护，持续开展河道疏浚整治，加快推动河长制向村级和微小水体拓展延伸。深入推进农村厕所革命，实施厕所粪污同步治理、达标排放工程，实现行政村三类以上公厕全覆盖。</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城乡环境基础设施布局。坚持提标增效扩面，聚焦群众痛点与发展短板，构建集污水、垃圾、固废危废收集处置和监测监管能力于一体的城乡环境基础设施体系。加快推进市区污水系统提质增效、老旧小区污水管道更新改造与排水系统雨污混接排查整治工程，实施一批污水处理厂新改扩建项目，基本消除建成区污水直排口与污水收集管网覆盖空白区域。推动城镇污水设施和管网向人口相对集中的乡村地区延伸，因地制宜开展其他村庄污水处理，自然村生活污水治理率达到90%。统筹推进城乡固废危废医废收集、运输、处理处置网络建设，完善农业农村有机废弃物集中处理和资源化利用设施布局。</w:t>
      </w:r>
    </w:p>
    <w:p>
      <w:pPr>
        <w:spacing w:before="240" w:after="240" w:line="580" w:lineRule="exact"/>
        <w:jc w:val="center"/>
        <w:rPr>
          <w:rFonts w:ascii="方正楷体_GBK" w:eastAsia="方正楷体_GBK"/>
          <w:sz w:val="32"/>
          <w:szCs w:val="32"/>
        </w:rPr>
      </w:pPr>
      <w:bookmarkStart w:id="122" w:name="_Toc55403957"/>
      <w:bookmarkStart w:id="123" w:name="_Toc58576683"/>
      <w:r>
        <w:rPr>
          <w:rFonts w:ascii="方正楷体_GBK" w:eastAsia="方正楷体_GBK"/>
          <w:sz w:val="32"/>
          <w:szCs w:val="32"/>
        </w:rPr>
        <w:t>第四节  实施自然资源节约集约利用</w:t>
      </w:r>
      <w:bookmarkEnd w:id="122"/>
      <w:r>
        <w:rPr>
          <w:rFonts w:ascii="方正楷体_GBK" w:eastAsia="方正楷体_GBK"/>
          <w:sz w:val="32"/>
          <w:szCs w:val="32"/>
        </w:rPr>
        <w:t>行动</w:t>
      </w:r>
      <w:bookmarkEnd w:id="123"/>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土地资源节约集约和高效利用。实行最严格的耕地保护制度，落实耕地保护主体责任和激励机制，严守耕地保护红线，坚决遏制耕地“非农化”，防止“非粮化”，到2025年全市耕地保有量、永久基本农田保护任务不低于国家、省下达目标。实行最严格的节约用地制度，实施建设用地总量和强度“双控”行动，严格土地用途管制。深入实施城镇建设用地提效工程，提高工业用地准入门槛，有序推进低效城镇用地和产业用地再开发，强化“散乱污”零星建设用地整理利用力度，促进空置楼宇、厂房等存量资源再利用</w:t>
      </w:r>
      <w:r>
        <w:rPr>
          <w:rFonts w:eastAsia="方正仿宋_GBK"/>
          <w:bCs/>
          <w:snapToGrid w:val="0"/>
          <w:kern w:val="0"/>
          <w:sz w:val="32"/>
          <w:szCs w:val="32"/>
        </w:rPr>
        <w:t>，探索实施“工改工”项目</w:t>
      </w:r>
      <w:r>
        <w:rPr>
          <w:rFonts w:eastAsia="方正仿宋_GBK"/>
          <w:snapToGrid w:val="0"/>
          <w:kern w:val="0"/>
          <w:sz w:val="32"/>
          <w:szCs w:val="32"/>
        </w:rPr>
        <w:t>。有效盘活农村存量建设用地，推动村庄闲置地、废弃地整理和复垦。健全以“亩均效益”为导向的资源要素优化配置机制，完善节约集约用地激励约束机制和考核体系。</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严格水资源节约利用和保护。严格落实水资源管理“三条红线”，完善以总量与效率控制为核心的水资源利用管理机制。优化水资源结构，统筹利用江河湖库水资源，推进再生水、雨洪水等非常规水资源利用。加强饮用水安全保障，实施长荡湖水厂新孟河取水口等工程，有序推进自来水直饮工程。深入开展节水行动，推动重点工业行业节水改造，推广先进适用的农业节水灌溉技术。加强取水用水过程管理，确立主要河湖水资源开发利用控制红线，落实计划用水管理、取水许可、水资源有偿使用等制度，完善生产生活用水差别化水价政策。到2025年，全市用水总量控制在29.01亿立方米以内。</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着力提高能源清洁低碳安全利用效率。深化能源消耗总量和强度“双控”，持续降低单位地区生产总值能耗，持续做好煤炭消费总量控制和清洁高效利用，持续推进分布式能源、资源综合利用发电项目建设，加大力度促进可再生能源消纳利用。鼓励引导能源技术创新和示范应用，培育能源新技术新业态新模式，推进能源互联网建设，提高工业、建筑、交通等关键领域能源利用效率。推进建筑节能和绿色建筑高质量发展，实现新建民用建筑100%执行绿色建筑标准。开展公共机构和家庭节能行动。</w:t>
      </w:r>
    </w:p>
    <w:p>
      <w:pPr>
        <w:spacing w:before="240" w:after="240" w:line="580" w:lineRule="exact"/>
        <w:jc w:val="center"/>
        <w:rPr>
          <w:rFonts w:ascii="方正楷体_GBK" w:eastAsia="方正楷体_GBK"/>
          <w:sz w:val="32"/>
          <w:szCs w:val="32"/>
        </w:rPr>
      </w:pPr>
      <w:bookmarkStart w:id="124" w:name="_Toc58576684"/>
      <w:bookmarkStart w:id="125" w:name="_Toc55403958"/>
      <w:r>
        <w:rPr>
          <w:rFonts w:ascii="方正楷体_GBK" w:eastAsia="方正楷体_GBK"/>
          <w:sz w:val="32"/>
          <w:szCs w:val="32"/>
        </w:rPr>
        <w:t>第五节  实施绿色低碳发展行动</w:t>
      </w:r>
      <w:bookmarkEnd w:id="124"/>
      <w:bookmarkEnd w:id="125"/>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绿色产业发展水平。依托中欧（常州）绿色创新园、中科院常州绿色科技产业园等平台载体，加强绿色制造关键核心技术攻关，构建市场导向的绿色技术创新体系，培育一批绿色技术创新人才和企业，支持绿建区打造长三角建筑科技创新中心。实施传统产业绿色化转型与绿色循环新兴产业培育工程，持续推进化工、钢铁、建材、印染等重点行业清洁生产，积极发展绿色建筑、节能环保、资源循环利用、清洁能源等绿色产业。深入开展绿色发展示范试点，实施绿色创新企业培育行动，推进市级绿色工厂建设，积极争创国家级绿色园区和绿色产业示范基地。制定大气污染物和温室气体协同减排计划，推进碳排放达峰与环境空气质量“双达”工程。</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大力发展循环经济。以“减量化、再利用、资源化”为方向，构建循环发展经济体系。加强园区循环化改造，深入推进企业循环式生产、产业循环型组合，推进国家级资源循环利用基地建设。提升化工园区安全环保水平，建成绿色发展标志工程，争创省级绿色循环发展示范区。构建静脉产业体系，大力发展资源再生利用产业，实现建筑垃圾、污泥、生活垃圾、餐厨废弃物等再生资源规模化循环利用。加快循环型农业建设，探索种养结合、生态养殖、废弃物资源化利用等生态循环农业模式。</w:t>
      </w:r>
    </w:p>
    <w:p>
      <w:pPr>
        <w:pStyle w:val="4"/>
        <w:adjustRightInd w:val="0"/>
        <w:spacing w:line="58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bCs/>
          <w:snapToGrid w:val="0"/>
          <w:kern w:val="0"/>
          <w:sz w:val="32"/>
          <w:szCs w:val="32"/>
        </w:rPr>
        <w:t>倡导绿色低碳生活方式。</w:t>
      </w:r>
      <w:r>
        <w:rPr>
          <w:rFonts w:ascii="Times New Roman" w:hAnsi="Times New Roman" w:eastAsia="方正仿宋_GBK"/>
          <w:snapToGrid w:val="0"/>
          <w:kern w:val="0"/>
          <w:sz w:val="32"/>
          <w:szCs w:val="32"/>
        </w:rPr>
        <w:t>实施全民环境保护宣传教育行动计划，推动环境教育基地、生态文明示范基地建设，加快构建新时代生态文化体系。倡导简约适度、绿色低碳的生活方式，培育节约健康的绿色消费观念，引导群众养成节水节电节气、垃圾分类投放、使用公勺公筷、拒食野味、绿色出行等生活习惯，开展节约型机关、绿色家庭、绿色学校、绿色社区、绿色商场、绿色餐馆等创建活动。</w:t>
      </w:r>
    </w:p>
    <w:p>
      <w:pPr>
        <w:spacing w:before="240" w:after="240" w:line="580" w:lineRule="exact"/>
        <w:jc w:val="center"/>
        <w:rPr>
          <w:rFonts w:hint="eastAsia" w:ascii="方正黑体_GBK" w:eastAsia="方正黑体_GBK"/>
          <w:sz w:val="32"/>
          <w:szCs w:val="32"/>
        </w:rPr>
      </w:pPr>
      <w:bookmarkStart w:id="126" w:name="_Toc55403949"/>
      <w:bookmarkStart w:id="127" w:name="_Toc58576685"/>
      <w:bookmarkStart w:id="128" w:name="_Hlk49499684"/>
      <w:r>
        <w:rPr>
          <w:rFonts w:hint="eastAsia" w:ascii="方正黑体_GBK" w:eastAsia="方正黑体_GBK"/>
          <w:sz w:val="32"/>
          <w:szCs w:val="32"/>
        </w:rPr>
        <w:t>第十五章  打造文旅休闲明星城</w:t>
      </w:r>
      <w:bookmarkEnd w:id="126"/>
      <w:bookmarkEnd w:id="127"/>
    </w:p>
    <w:p>
      <w:pPr>
        <w:adjustRightInd w:val="0"/>
        <w:snapToGrid w:val="0"/>
        <w:spacing w:line="580" w:lineRule="exact"/>
        <w:ind w:firstLine="640" w:firstLineChars="200"/>
        <w:rPr>
          <w:rFonts w:eastAsia="方正仿宋_GBK"/>
          <w:bCs/>
          <w:snapToGrid w:val="0"/>
          <w:kern w:val="0"/>
          <w:sz w:val="32"/>
          <w:szCs w:val="32"/>
        </w:rPr>
      </w:pPr>
      <w:r>
        <w:rPr>
          <w:rFonts w:eastAsia="方正仿宋_GBK"/>
          <w:bCs/>
          <w:snapToGrid w:val="0"/>
          <w:kern w:val="0"/>
          <w:sz w:val="32"/>
          <w:szCs w:val="32"/>
        </w:rPr>
        <w:t>坚定文化自信，坚持以社会主义核心价值观为引领，弘扬新时代“常州精神”，开创文旅融合发展新局面，进一步提升文化软实力和社会文明程度，全力建设文旅休闲明星城。</w:t>
      </w:r>
    </w:p>
    <w:p>
      <w:pPr>
        <w:spacing w:before="240" w:after="240" w:line="580" w:lineRule="exact"/>
        <w:jc w:val="center"/>
        <w:rPr>
          <w:rFonts w:ascii="方正楷体_GBK" w:eastAsia="方正楷体_GBK"/>
          <w:sz w:val="32"/>
          <w:szCs w:val="32"/>
        </w:rPr>
      </w:pPr>
      <w:bookmarkStart w:id="129" w:name="_Toc55403950"/>
      <w:bookmarkStart w:id="130" w:name="_Toc58576686"/>
      <w:r>
        <w:rPr>
          <w:rFonts w:ascii="方正楷体_GBK" w:eastAsia="方正楷体_GBK"/>
          <w:sz w:val="32"/>
          <w:szCs w:val="32"/>
        </w:rPr>
        <w:t>第一节  打造全域文明建设示范区</w:t>
      </w:r>
      <w:bookmarkEnd w:id="129"/>
      <w:bookmarkEnd w:id="130"/>
    </w:p>
    <w:p>
      <w:pPr>
        <w:adjustRightInd w:val="0"/>
        <w:snapToGrid w:val="0"/>
        <w:spacing w:line="580" w:lineRule="exact"/>
        <w:ind w:firstLine="640" w:firstLineChars="200"/>
        <w:rPr>
          <w:rFonts w:eastAsia="方正仿宋_GBK"/>
          <w:snapToGrid w:val="0"/>
          <w:kern w:val="0"/>
          <w:sz w:val="32"/>
          <w:szCs w:val="32"/>
        </w:rPr>
      </w:pPr>
      <w:bookmarkStart w:id="131" w:name="OLE_LINK3"/>
      <w:bookmarkStart w:id="132" w:name="OLE_LINK2"/>
      <w:r>
        <w:rPr>
          <w:rFonts w:eastAsia="方正仿宋_GBK"/>
          <w:snapToGrid w:val="0"/>
          <w:kern w:val="0"/>
          <w:sz w:val="32"/>
          <w:szCs w:val="32"/>
        </w:rPr>
        <w:t>巩固壮大主流思想舆论。坚持马克思主义在意识形态领域指导地位的根本制度，持续深入学习贯彻习近平新时代中国特色社会主义思想，完善理论学习、宣传和研究工作体系，推进在常高校马克思主义理论教育联盟建设。完善舆论阵地建设和管理制度，加强新闻宣传工作科学化规范化制度化建设，推进媒体深度融合，加强市级新型主流媒体、县级融媒体中心建设。加强和创新互联网内容建设，开展清网、净网专项行动，实施网络同心圆工程，提升网络安全管理和处置能力。实施决策咨询能力提升工程，加大社科普及力度，推动哲学社会科学专家库、人才信息库和新型智库建设。</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核心价值引领作用。发挥社会主义核心价值观引领风尚和凝心聚力的作用，培育和深化中国特色社会主义价值认同，打造一批社会主义核心价值观建设示范基地。加强党史、新中国史、改革开放史、社会主义发展史学习教育，深化爱国主义、集体主义、社会主义教育，大力弘扬“常州三杰”精神、新四军铁军精神、华罗庚精神，建好“三杰”纪念馆，推进常州革命史纪念馆改陈布展。提升爱国主义教育基地建管水平，实施爱国主义教育基地数字化工程。加快推进溧阳新四军江南指挥部旧址等纪念馆改造。</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构筑道德风尚建设高地。实施公民道德建设提升工程，深化道德讲堂品牌建设，实现新时代文明实践中心（所、站）镇（街道）、村（社区）全覆盖，打造“常人尚德”精神文明高地。组织实施志愿服务品牌提升工程，探索构建现代志愿服务体系，力争注册志愿者占城镇人口比重达18%。加强未成年人思想道德建设，加强理想信念教育、中华优秀传统文化教育、文明礼仪教育，建立健全未成年人心理健康服务体系，打造时代新人培育提升工程。大力弘扬劳动精神、劳模精神和工匠精神，完善时代楷模、道德模范、龙城先锋、最美人物、优秀志愿者等各类典型培育选树制度。</w:t>
      </w:r>
    </w:p>
    <w:bookmarkEnd w:id="131"/>
    <w:bookmarkEnd w:id="132"/>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弘扬新时代“常州精神”。丰富“勇争一流、耻为二手”的新时代常州精神内涵，不断凝聚共同理想、价值追求和文化认同，强化“干则一流、出则精品”的实绩导向。在全市范围内开展各类弘扬“常州精神”的学习宣传活动、主题实践活动及公益宣传活动，组织先进典型开展“传帮带”活动，利用“巡讲+服务”“线上+线下”多元宣传形式，在各行各业选树表彰先进典型。</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升全域文明建设水平。持续加强全域文明城市建设，深入开展交通秩序提升、轨道交通沿线市容环境综合整治、老旧小区改造等专项行动，着力提高文明城市建设精细化智能化常态化水平。深化群众性精神文明创建，扎实开展“爱我常州、建设家乡”活动，深入开展文明行为习惯养成行动，推动《常州市文明行为促进条例》广泛践行。争创典范性全国文明城市，确保位列全国文明城市第一方阵。</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4" w:hRule="atLeast"/>
          <w:jc w:val="center"/>
        </w:trPr>
        <w:tc>
          <w:tcPr>
            <w:tcW w:w="8646" w:type="dxa"/>
            <w:noWrap w:val="0"/>
            <w:vAlign w:val="center"/>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专栏15-1</w:t>
            </w:r>
            <w:r>
              <w:rPr>
                <w:rFonts w:hint="eastAsia" w:eastAsia="方正仿宋_GBK"/>
                <w:snapToGrid w:val="0"/>
                <w:kern w:val="0"/>
                <w:sz w:val="28"/>
                <w:szCs w:val="28"/>
              </w:rPr>
              <w:t xml:space="preserve">  </w:t>
            </w:r>
            <w:r>
              <w:rPr>
                <w:rFonts w:eastAsia="方正仿宋_GBK"/>
                <w:snapToGrid w:val="0"/>
                <w:kern w:val="0"/>
                <w:sz w:val="28"/>
                <w:szCs w:val="28"/>
              </w:rPr>
              <w:t>全域文明建设重点工程（项目）</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新型主流媒体建设工程，县级融媒体中心，新时代文明实践中心建设工程，现代志愿服务体系建设工程，“道德讲堂”高质量发展优化工程，智能化公益宣传阵地联盟，未成年人心理健康服务体系，社会实践教育网络体系等。</w:t>
            </w:r>
          </w:p>
        </w:tc>
      </w:tr>
    </w:tbl>
    <w:p>
      <w:pPr>
        <w:spacing w:before="240" w:after="240" w:line="580" w:lineRule="exact"/>
        <w:jc w:val="center"/>
        <w:rPr>
          <w:rFonts w:ascii="方正楷体_GBK" w:eastAsia="方正楷体_GBK"/>
          <w:sz w:val="32"/>
          <w:szCs w:val="32"/>
        </w:rPr>
      </w:pPr>
      <w:bookmarkStart w:id="133" w:name="_Toc58576687"/>
      <w:bookmarkStart w:id="134" w:name="_Toc55403951"/>
      <w:r>
        <w:rPr>
          <w:rFonts w:ascii="方正楷体_GBK" w:eastAsia="方正楷体_GBK"/>
          <w:sz w:val="32"/>
          <w:szCs w:val="32"/>
        </w:rPr>
        <w:t>第二节  开创文旅融合发展新局面</w:t>
      </w:r>
      <w:bookmarkEnd w:id="133"/>
      <w:bookmarkEnd w:id="13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全域旅游发展格局。构建“一核两带七区”全域旅游发展格局，实施全域旅游服务品牌塑造行动，持续优化旅游市场环境，完善全域旅游公共服务体系，加快建设文旅公共服务综合体、“常享游”一站式旅游综合服务平台等项目。实施“互联网+”智慧赋能行动，加大“常享游”推广和应用，推动“一部手机游常州”，加快实现文旅公共服务智慧化、数字化。大力推进全域旅游示范区创建，到2025年全市创成国家全域旅游示范区。</w:t>
      </w:r>
    </w:p>
    <w:tbl>
      <w:tblPr>
        <w:tblStyle w:val="6"/>
        <w:tblW w:w="864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7"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专栏15-2</w:t>
            </w:r>
            <w:r>
              <w:rPr>
                <w:rFonts w:hint="eastAsia" w:eastAsia="方正仿宋_GBK"/>
                <w:snapToGrid w:val="0"/>
                <w:kern w:val="0"/>
                <w:sz w:val="28"/>
                <w:szCs w:val="28"/>
              </w:rPr>
              <w:t xml:space="preserve">  </w:t>
            </w:r>
            <w:r>
              <w:rPr>
                <w:rFonts w:eastAsia="方正仿宋_GBK"/>
                <w:snapToGrid w:val="0"/>
                <w:kern w:val="0"/>
                <w:sz w:val="28"/>
                <w:szCs w:val="28"/>
              </w:rPr>
              <w:t>全域旅游发展空间格局</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“一核”：常州城市休闲旅游中心；</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“两带”：大运河历史文化旅游休闲带、武进—金坛—溧阳旅游度假发展带；</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“七区”：天目湖山水旅游度假区、太湖湾旅游度假区、茅山道养旅游度假区、长荡湖湿地旅游度假区、曹山生态旅游度假区、小黄山医养旅游度假区、西太湖郊野度假区。</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优质文旅产品供给。实施文旅产品提质升级行动，打造一批高品质文化创意园区、旅游景区、旅游度假区、乡村旅游重点村、特色文化旅游街区，持续办好文化旅游节、乡村旅游节、“常走大运”“文化100”等品牌活动，丰富城市、乐园、山水、乡村、康养、研学等特色优质文旅休闲产品体系，支持文旅消费综合载体发展基于虚拟现实、增强现实、混合现实、5G等技术的新一代沉浸式体验型文旅产品。推进芳茂山片区生态修复和旅游综合开发，加快东部山水资源和传统文化资源融合发展。深化国家文化和旅游消费试点和示范城市建设，到2025年，旅游总收入突破1800亿元。</w:t>
      </w:r>
    </w:p>
    <w:tbl>
      <w:tblPr>
        <w:tblStyle w:val="6"/>
        <w:tblpPr w:leftFromText="180" w:rightFromText="180" w:vertAnchor="text" w:horzAnchor="margin" w:tblpXSpec="center" w:tblpY="190"/>
        <w:tblW w:w="86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8647"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专栏15-3</w:t>
            </w:r>
            <w:r>
              <w:rPr>
                <w:rFonts w:hint="eastAsia" w:eastAsia="方正仿宋_GBK"/>
                <w:snapToGrid w:val="0"/>
                <w:kern w:val="0"/>
                <w:sz w:val="28"/>
                <w:szCs w:val="28"/>
              </w:rPr>
              <w:t xml:space="preserve">  </w:t>
            </w:r>
            <w:r>
              <w:rPr>
                <w:rFonts w:eastAsia="方正仿宋_GBK"/>
                <w:snapToGrid w:val="0"/>
                <w:kern w:val="0"/>
                <w:sz w:val="28"/>
                <w:szCs w:val="28"/>
              </w:rPr>
              <w:t>文旅产品体系重点项目</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“乐园之都·激情常州”产品集群：中华恐龙园提升改造、世界级恐龙文化示范基地；</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绝色江南·闲逸山水”产品集群：杜鹃花小镇、南山全域旅游集散中心、曹山山水未来城文旅综合体、环球大溪文旅综合体、长荡湖国家湿地公园、东方盐湖城青青源境项目、西太湖旅游提升项目、长江生态旅游廊道、茅山茶海项目、茅山旅游度假区提档升级；</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乡愁田园·四季如画”产品集群：智能化渔场项目、双铁都市田园、郑陆生态休闲绿道、壹方创意休闲现代旅游产业园、新龙生态湿地公园、牟家文农旅项目、革新河生态休闲廊道、鹅颈湾生态景观修复项目、乐缘湖景休闲度假中心、柚山美丽乡村旅游项目、黄天荡“江南水韵”项目、殷村职教小镇、芙蓉湖小镇、上阮美丽乡村旅游项目、嬉乐湾智能化种植休闲旅游观光项目、金色庆丰农旅综合体、玉枝茶旅融合休闲园、横塘河湿地休闲公园、新北休闲观光农业项目、郑陆现代观光休闲体验农庄群、仙姑美丽乡村旅游项目、曹山花溪田农旅综合体；</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“悠然林泉·康体颐养”产品集群：孟河小黄山中医康养示范小镇、茅山美池温泉度假村、中医特色小镇一期、玉美健康养生旅游项目、天目湖中国再生健康管理中心；</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千载诗书·亲子研学”产品集群：“芝荟时光”百兴教育孵化基地、佳农探趣亲子研学基地、太湖湾青少年研学旅游项目、双涵生态乐园、薛家公共艺术项目、星宸文化艺术中心、“悦读钟楼”亲子研学项目、常州梳篦非遗文化园、临溪农学院，恒源畅厂、戚机厂、国光1937科技文化创意园、天虹1921创意园等工商文化遗存整合提升工程。</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塑造城市特色文旅品牌。高质量推进大运河文化带常州段建设，构建“城河一体”发展新格局，塑造“江南门户·溯源运河”品牌。推动江南名士精神、名人文化融入旅游发展，加强名人故居等资源保护性开发利用，塑造“开吴之地·名士部落”品牌。依托以“常州三杰”为代表的红色文化资源，推进红色文化特色旅游街区、红色文旅融合发展示范区建设，塑造“三杰故里·红色名城”品牌。实施工商文化品牌提升工程，推进“工商文化旅游廊道”建设，塑造“百年工商·现代智造”品牌，争创国家级“生活秀带”和省级工业旅游区；依托戚机厂、戚电厂、大明厂等百年老企资源，建设国家级工业遗产群。推进餐饮标准化、规模化、产业化，推出一批老字号特色主题餐饮、美食网红热点、“美食夜市”和美食街区（小镇），塑造“寻味江南·食美常州”品牌，建设国际美食名城。</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20" w:lineRule="exact"/>
              <w:jc w:val="center"/>
              <w:rPr>
                <w:rFonts w:eastAsia="方正仿宋_GBK"/>
                <w:snapToGrid w:val="0"/>
                <w:kern w:val="0"/>
                <w:sz w:val="28"/>
                <w:szCs w:val="28"/>
              </w:rPr>
            </w:pPr>
            <w:r>
              <w:rPr>
                <w:rFonts w:eastAsia="方正仿宋_GBK"/>
                <w:snapToGrid w:val="0"/>
                <w:kern w:val="0"/>
                <w:sz w:val="28"/>
                <w:szCs w:val="28"/>
              </w:rPr>
              <w:t>专栏15-4</w:t>
            </w:r>
            <w:r>
              <w:rPr>
                <w:rFonts w:hint="eastAsia" w:eastAsia="方正仿宋_GBK"/>
                <w:snapToGrid w:val="0"/>
                <w:kern w:val="0"/>
                <w:sz w:val="28"/>
                <w:szCs w:val="28"/>
              </w:rPr>
              <w:t xml:space="preserve">  </w:t>
            </w:r>
            <w:r>
              <w:rPr>
                <w:rFonts w:eastAsia="方正仿宋_GBK"/>
                <w:snapToGrid w:val="0"/>
                <w:kern w:val="0"/>
                <w:sz w:val="28"/>
                <w:szCs w:val="28"/>
              </w:rPr>
              <w:t>城市文旅品牌重点项目</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江南门户·溯源运河”品牌：大运河文化带精华段建设、大运河文化品牌亮化工程、古运河—老城厢休闲文旅项目、青果巷历史文化街区项目、大运河文化带奔牛段项目、大运河文化带春秋淹城遗址改造提升项目、龙游河文旅休闲项目、安基运河时光码头、勤工路（锁桥湾）—西市河—二中“常州母亲城”文旅项目、南市河历史文化街区环境提升项目、夏家大院保护修缮项目、大运河艺术展览和实景演出项目、篦箕巷提升项目、大运河石龙嘴“江湖汇秀”项目、大运河（关河）—大观楼精品文旅项目；</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“开吴之地·名士部落”品牌：焦溪古镇申遗保护项目（江南水乡古镇联合申遗工程）、季子文商旅农综合体、武进高新区园中园项目、中国名家剪纸博物馆、恽南田艺术双年展项目；</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三杰故里·红色名城”品牌：红色文旅融合发展示范区建设、大庙弄红色街区、红色文化教育体验项目、经开区红色印象项目、新四军红色文旅基地、红色纪念场馆提档升级工程、“常州三杰”等红色题材艺术精品创作工程；</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百年工商·现代智造”品牌：纺织博览园、新型纺织服装工业旅游项目、蓝科技文化创意旅游区、MADO智慧创意园、光大环保垃圾焚烧发电工业旅游示范园、黑牡丹文创园南城脚园区、富都江南新经济文创产业园、玉蝶萝卜干工业旅游示范项目、常金互联农业产业项目；</w:t>
            </w:r>
          </w:p>
          <w:p>
            <w:pPr>
              <w:adjustRightInd w:val="0"/>
              <w:snapToGrid w:val="0"/>
              <w:spacing w:line="420" w:lineRule="exact"/>
              <w:ind w:firstLine="560" w:firstLineChars="200"/>
              <w:rPr>
                <w:rFonts w:eastAsia="方正仿宋_GBK"/>
                <w:snapToGrid w:val="0"/>
                <w:kern w:val="0"/>
                <w:sz w:val="28"/>
                <w:szCs w:val="28"/>
              </w:rPr>
            </w:pPr>
            <w:r>
              <w:rPr>
                <w:rFonts w:eastAsia="方正仿宋_GBK"/>
                <w:bCs/>
                <w:snapToGrid w:val="0"/>
                <w:kern w:val="0"/>
                <w:sz w:val="28"/>
                <w:szCs w:val="28"/>
              </w:rPr>
              <w:t>“寻味江南·食美常州”品牌：全国性美食文化高峰论坛、美食街区/餐饮集聚区提档升级工程、常州餐饮文化博物馆。</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培育文体商旅融合新业态。将“龙城夜未央”打造成为全国知名夜生活品牌，加快发展夜间文旅经济，鼓励特色商业街和综合体实施景观亮化，重点培育古运河两岸、青果巷、环球恐龙城、江南环球港、常州文化广场、三堡街、淹城、溧阳中体城等夜间经济集聚区，构建多业态夜间消费产品体系，推出一批夜间文旅消费打卡地。促进体育与文化、旅游、教育、健康、物联网等融合发展，拓展体育健身、体育观赛、体育培训、体育旅游等消费新空间，培育一批品牌体育展会（活动）、体育旅游产品（基地），推动国家体育消费试点城市建设。做大做强文化创意产业，积极发展文博创意、影视传媒、动漫游戏、电子竞技、网络娱乐、数字创意、数字阅读等业态，培育一批旗舰型文创企业（机构）、高素质文创人才和专业化文创园区（基地），提升常州创意产业园区、西太湖影视产业基地发展水平，持续办好中国（常州）国际动漫艺术周等品牌活动，着力打造全国知名的创意设计城市。</w:t>
      </w:r>
    </w:p>
    <w:p>
      <w:pPr>
        <w:spacing w:before="240" w:after="240" w:line="580" w:lineRule="exact"/>
        <w:jc w:val="center"/>
        <w:rPr>
          <w:rFonts w:ascii="方正楷体_GBK" w:eastAsia="方正楷体_GBK"/>
          <w:sz w:val="32"/>
          <w:szCs w:val="32"/>
        </w:rPr>
      </w:pPr>
      <w:bookmarkStart w:id="135" w:name="_Toc55403952"/>
      <w:bookmarkStart w:id="136" w:name="_Toc58576688"/>
      <w:r>
        <w:rPr>
          <w:rFonts w:ascii="方正楷体_GBK" w:eastAsia="方正楷体_GBK"/>
          <w:sz w:val="32"/>
          <w:szCs w:val="32"/>
        </w:rPr>
        <w:t>第三节</w:t>
      </w:r>
      <w:bookmarkStart w:id="137" w:name="OLE_LINK1"/>
      <w:r>
        <w:rPr>
          <w:rFonts w:ascii="方正楷体_GBK" w:eastAsia="方正楷体_GBK"/>
          <w:sz w:val="32"/>
          <w:szCs w:val="32"/>
        </w:rPr>
        <w:t xml:space="preserve">  推动文体事业</w:t>
      </w:r>
      <w:bookmarkEnd w:id="137"/>
      <w:r>
        <w:rPr>
          <w:rFonts w:ascii="方正楷体_GBK" w:eastAsia="方正楷体_GBK"/>
          <w:sz w:val="32"/>
          <w:szCs w:val="32"/>
        </w:rPr>
        <w:t>高质量发展</w:t>
      </w:r>
      <w:bookmarkEnd w:id="135"/>
      <w:bookmarkEnd w:id="13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增强高品质文化供给能力。加强文化精品创作生产，实施一批重点题材和精品工程项目，推出一批彰显常州人文特质的文艺佳作。全面确立社会效益为首位的发展方针，完善文艺产品创作生产激励机制，持续深化国有文艺院团改革，健全文艺院团长效发展保障机制。加强文化传承创新，实施常州文脉整理研究与传播工程，强化文化遗产分类保护，推动金坛刻纸、乱针绣、留青竹刻、梳篦、蒋塘马灯舞等非物质文化遗产保护传承发展，打造一批以IP运营为核心的文化景区、特色小镇和传统村落。</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公共文化服务效能。完善现代公共文化服务体系，推进基层公共文化服务提档升级，实现辖市（区）公共文化服务场馆建设全达标，建设一批特色基层综合性文化服务中心。实施文化小康惠民工程，持续办好“文明社区天天乐”“文化100”“文化点亮生活”“文化惠民月”等品牌活动，深入乡村、社区、学校等开展“送文化”“种文化”惠民服务。深化“书香常州”建设，推进智慧型图书馆“秋白书苑”建设、职工书屋建设与农家书屋转型升级，建设覆盖城乡的全民阅读服务体系，全民阅读指数保持在全省前列。健全优质文艺作品传播体系，培育发展网络视听、移动阅读、在线教育、网络文学、数字出版、知识服务等新兴网络平台，推进网络视听产业园建设，办好“常州文艺精品展演月”等活动。深化“我们的节日”主题活动，推动中华优秀传统文化创造性转化、创新性发展。</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公共体育服务体系。落实全民健身国家战略，实施群众体育提升行动，争创全民运动健身模范市。完善公共体育设施网络，加快推进高铁新城体育中心等重大体育设施建设工程，加强健身步道、骑行道、社区体育公园等全民健身场地设施建设，实施农村和薄弱地区公共体育健身设施提档升级工程，推动体育场馆免费低收费开放。推进全民健身智慧化发展，提升智慧化全民健身公共服务能力。加强体育赛事战略规划，持续办好竞技体育系列赛事，打响“运动龙城大联赛”群体赛事品牌。到2025年，人均体育场地面积超4平方米，实现全民健身活动中心镇（街道）全覆盖。</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健全现代文体市场体系。培育壮大文体市场主体，以龙控集团、广电传媒集团、报业集团、体育产业集团等为核心，鼓励国有骨干文体企业以资本为纽带进行跨地区、跨行业、跨所有制兼并重组，支持中小微文体企业创新发展。完善现代文化市场体系，优化文化产业结构布局，加快建设国家级视音频版权进出口平台及溯源数据管理平台、市级文化产权交易中心等，建设国家级文化产业园（基地）。推动体育社团、俱乐部高质量发展，培育一批优质基层体育组织。推进公共体育场馆“改造功能、改革机制”工程，深化大型体育场馆所有权、经营权分离改革。</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专栏15-5</w:t>
            </w:r>
            <w:r>
              <w:rPr>
                <w:rFonts w:hint="eastAsia" w:eastAsia="方正仿宋_GBK"/>
                <w:snapToGrid w:val="0"/>
                <w:kern w:val="0"/>
                <w:sz w:val="28"/>
                <w:szCs w:val="28"/>
              </w:rPr>
              <w:t xml:space="preserve">  </w:t>
            </w:r>
            <w:r>
              <w:rPr>
                <w:rFonts w:eastAsia="方正仿宋_GBK"/>
                <w:snapToGrid w:val="0"/>
                <w:kern w:val="0"/>
                <w:sz w:val="28"/>
                <w:szCs w:val="28"/>
              </w:rPr>
              <w:t>文体事业重点工程（项目）</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文化基础设施：常州三杰纪念馆整体提升工程、意园修复工程、盛宣怀故居保护修缮工程、刘海粟美术馆改造提升项目、国家视音频版权进出口平台及溯源数据管理平台、江苏省儿童艺术剧院（华罗庚艺术团）提升工程、金坛古籍珂罗版项目等；</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体育基础设施：体育健身场地设施智慧化改造工程、西太湖体育中心、高铁新城国际网球赛事中心、高铁新城国际足球赛事中心、凤凰新城环岛路景观慢行系统、常州自行车训练基地、中国（常州）女子手球训练基地、常州足球训练基地、溧阳奥体全民健身中心、金坛全民健身中心、茅山宝盛园山地体育拓展营地、智汇体育公园、邹区全民健身活动中心、水上运动中心、智慧马拉松赛道、新北薛家全民健身中心、经开区遥观镇全民健身活动中心等；</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特色文化品牌：“文化100”、秋白读书节、“文旅惠民月”“文明社区天天乐”“文化点亮生活”“常走大运”“常州文艺精品展演月”、江南大运河文化艺术节等；</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体育赛事活动：中国羽毛球公开赛、中国马拉松精英排名赛、全国女排联赛、全国皮划艇锦标赛、西太湖半程马拉松、茅山山地半程马拉松赛、发现常州定向赛、“运动龙城大联赛”“一区（市）一品”赛事等。</w:t>
            </w:r>
          </w:p>
        </w:tc>
      </w:tr>
      <w:bookmarkEnd w:id="128"/>
    </w:tbl>
    <w:p>
      <w:pPr>
        <w:spacing w:before="240" w:after="240" w:line="580" w:lineRule="exact"/>
        <w:jc w:val="center"/>
        <w:rPr>
          <w:rFonts w:hint="eastAsia" w:ascii="方正黑体_GBK" w:eastAsia="方正黑体_GBK"/>
          <w:sz w:val="32"/>
          <w:szCs w:val="32"/>
        </w:rPr>
      </w:pPr>
      <w:bookmarkStart w:id="138" w:name="_Toc58576689"/>
      <w:bookmarkStart w:id="139" w:name="_Toc55403959"/>
      <w:bookmarkStart w:id="140" w:name="_Hlk54950107"/>
      <w:r>
        <w:rPr>
          <w:rFonts w:hint="eastAsia" w:ascii="方正黑体_GBK" w:eastAsia="方正黑体_GBK"/>
          <w:sz w:val="32"/>
          <w:szCs w:val="32"/>
        </w:rPr>
        <w:t>第十六章  打造和谐幸福明星城</w:t>
      </w:r>
      <w:bookmarkEnd w:id="138"/>
      <w:bookmarkEnd w:id="13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以人民为中心，以人民群众美好生活向往为导向，立足人的全生命周期和健康全过程，增强优质公共服务产品共建能力和共享水平，增进民生福祉、改善生活品质，不断促进人的全面发展、全体人民共同富裕，全力推进和谐幸福明星城建设。</w:t>
      </w:r>
    </w:p>
    <w:p>
      <w:pPr>
        <w:spacing w:before="240" w:after="240" w:line="580" w:lineRule="exact"/>
        <w:jc w:val="center"/>
        <w:rPr>
          <w:rFonts w:hint="eastAsia" w:ascii="方正楷体_GBK" w:eastAsia="方正楷体_GBK"/>
          <w:sz w:val="32"/>
          <w:szCs w:val="32"/>
        </w:rPr>
      </w:pPr>
      <w:bookmarkStart w:id="141" w:name="_Toc55403960"/>
      <w:bookmarkStart w:id="142" w:name="_Toc58576690"/>
      <w:r>
        <w:rPr>
          <w:rFonts w:hint="eastAsia" w:ascii="方正楷体_GBK" w:eastAsia="方正楷体_GBK"/>
          <w:sz w:val="32"/>
          <w:szCs w:val="32"/>
        </w:rPr>
        <w:t>第一节  持续推进富民增收</w:t>
      </w:r>
      <w:bookmarkEnd w:id="141"/>
      <w:bookmarkEnd w:id="142"/>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积极增加城乡居民收入。大力实施富民增收行动计划，稳步提高中等收入群体比重和平均收入水平，进一步缩小城乡收入差距，确保居民收入增长快于经济增长。提高居民工资性收入，健全工资水平决定机制、正常增长机制、支付保障机制，重点保障农民工工资支付，鼓励提高技术工人待遇，落实最低工资标准。扩大居民经营性收入，大力发展现代商贸、电子商务、直播经济等新兴经济业态，鼓励民营经济发展壮大，支持中小微企业发展，帮助更多群体创业致富。增加居民财产性收入，拓宽居民股息、房产租赁、红利等增收渠道，规范发展理财产品，有序引导城乡居民参股创办企业或投资经营项目，稳步推动有条件企业实施员工持股计划。增加城乡居民特别是低收入、困难群众的转移净收入。实施家庭农场培育计划，加快推进农村电商、特色旅游观光农业和都市休闲观光农业等新型农业经营模式，推动农村资源资产化、资产资本化、资本股份化，实现农民持续增收。</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收入分配制度。坚持按劳分配与资本、技术、管理、数据等生产要素按贡献参与分配相结合，制定实施差别化的收入分配激励政策，加快形成合理有序的收入分配格局。保护劳动所得，增加劳动者特别是一线劳动者劳动报酬。完善企业薪酬调查和信息发布制度，大力推进行业性、区域性企业工资集体协商。健全以税收、社会保障、转移支付等为主要手段的再分配调节机制，发挥政府再分配调节职能，调节过高收入，减少低收入群体的税收负担。发挥第三次分配对收入调节的作用，支持慈善、红十字会等社会公益事业发展。</w:t>
      </w:r>
    </w:p>
    <w:p>
      <w:pPr>
        <w:spacing w:before="240" w:after="240" w:line="580" w:lineRule="exact"/>
        <w:jc w:val="center"/>
        <w:rPr>
          <w:rFonts w:ascii="方正楷体_GBK" w:eastAsia="方正楷体_GBK"/>
          <w:sz w:val="32"/>
          <w:szCs w:val="32"/>
        </w:rPr>
      </w:pPr>
      <w:bookmarkStart w:id="143" w:name="_Toc58576691"/>
      <w:bookmarkStart w:id="144" w:name="_Toc55403961"/>
      <w:r>
        <w:rPr>
          <w:rFonts w:ascii="方正楷体_GBK" w:eastAsia="方正楷体_GBK"/>
          <w:sz w:val="32"/>
          <w:szCs w:val="32"/>
        </w:rPr>
        <w:t>第二节  实现更高质量更充分就业</w:t>
      </w:r>
      <w:bookmarkEnd w:id="143"/>
      <w:bookmarkEnd w:id="14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促进多渠道就业。深入实施就业优先战略和更加积极的就业政策，建立经济发展与扩大就业的联动机制，促进城乡劳动者就业更加充分、结构更趋合理。稳定就业防范规模性失业，构建常态化援企稳岗帮扶机制，扩大减税降费政策受益面，支持企业稳定员工队伍。强化服务业、劳动密集型产业以及民营企业、中小微企业吸纳就业的主渠道作用，壮大新就业形态，鼓励弹性就业，探索建立灵活就业保障机制。统筹推进重点群体就业，推动农业转移人口在城镇稳定就业，保障退役军人、残疾人等特殊群体就业，引导高校毕业生实现本地就业创业，促进失业人员重新上岗。拓展公益性就业岗位，托底安置就业困难人员。到2025年，城镇新增就业50万人以上。</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提高就业质量。扶持创业带动就业，实施创业就业富民行动，强化创业孵化载体与创业服务“云平台”功能，优化创业培训精准服务，开展龙城青年、大学生创业创富活动，组织退役军人创业创新大赛，实施女性创业创新护航计划，持续降低创业门槛和成本，打造创业圆梦首选城市。实施职业技能提升行动，创新技能人才培养方式，完善技术技能评价制度与技术工人晋升激励机制，全面推进企业新型学徒制，加快各级各类产教融合载体、网络学习平台建设，广泛开展职工职业技能竞赛。</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公共就业服务体系。推动公共就业创业服务标准化、专业化、信息化，加快推进“互联网+就业创业”，实现公共就业“不见面”及“最多跑一次”服务。完善“人社专员”用工服务机制，健全退役军人就业服务体系，拓展线上线下招聘、求职、培训等渠道，鼓励人力资源服务机构为企业提供用工招聘、人员培训、代理代办等服务，集聚发展人力资源服务业，加强对人力资源服务全产业链的产品研发和创新，构建统一高效的人力资源市场体系。深入开展和谐劳动关系建设活动，加大企业欠薪、劳动关系源头治理力度，健全劳动人事争议仲裁案件多元处理机制，规范劳动保障监察执法，扎实推进省级和谐劳动关系创建示范项目和综合试验区试点项目建设。</w:t>
      </w:r>
    </w:p>
    <w:p>
      <w:pPr>
        <w:spacing w:before="240" w:after="240" w:line="580" w:lineRule="exact"/>
        <w:jc w:val="center"/>
        <w:rPr>
          <w:rFonts w:ascii="方正楷体_GBK" w:eastAsia="方正楷体_GBK"/>
          <w:sz w:val="32"/>
          <w:szCs w:val="32"/>
        </w:rPr>
      </w:pPr>
      <w:bookmarkStart w:id="145" w:name="_Toc55403962"/>
      <w:bookmarkStart w:id="146" w:name="_Toc58576692"/>
      <w:r>
        <w:rPr>
          <w:rFonts w:ascii="方正楷体_GBK" w:eastAsia="方正楷体_GBK"/>
          <w:sz w:val="32"/>
          <w:szCs w:val="32"/>
        </w:rPr>
        <w:t>第三节  构建高质量现代教育体系</w:t>
      </w:r>
      <w:bookmarkEnd w:id="145"/>
      <w:bookmarkEnd w:id="14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基础教育优质公平。依据城市国土空间规划和学龄人口变化，进一步完善教育设施布局，建立健全以增加学位供给和提升人均教育资源占有量为重点的中小学建设机制，加快推进中小学资源建设。强化“市级统筹、辖市（区）为主”的学前教育管理体制，健全经费投入机制，推进学前教育补短强弱，形成公办与普惠性民办幼儿园为主体的学前教育公共服务体系。全面推进国家义务教育优质均衡发展县（市、区）建设，不断提升区域集团化办学品质，创新推动学校主动发展和优质学校建设，促进城乡义务教育学校优质均衡发展。锚定省高品质示范高中创建目标，加快普通高中发展。加快推进特殊教育融合发展，构建完善以普通学校随班就读为主体、以特殊教育学校为骨干、以送教上门和远程教育为补充的特殊教育发展格局，逐步提升融合教育高质量服务水平。</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职教创新发展高地建设。继续夯实中职教育基础地位，深化苏锡常都市圈职业教育改革创新，推进2-3所中职学校新校区向产业园区集聚，建成3所左右国家优质中职校，推进刘国钧高职校、铁道高职校、幼儿师范学校等3所中职校升格为高职院，规划筹建体育职业技术学院和卫生高等专科学校。加大省“领航计划”中职学校建设力度，支持“双高计划”建设，推进高职院校试办本科层次职业教育，支持在常高校申请专业硕士、专业博士授予权。完善职业院校专业增设、淘汰、改造动态调整机制，全面推行毕业证与职业技能等级证相结合的“双证制度”。探索建立“新职师”培养机制，支持江苏理工学院更名建成国内一流的职业技术师范大学。建设国家产教融合型试点城市，建成高水平专业化产教融合实训基地、世界技能大赛中国集训基地、全国示范性职教集团10个左右，持续提升职业学校服务社会能力。</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高等教育高品质发展。优化存量、扩大增量加快推进高等教育发展，支持常州大学西太湖校区、江苏理工学院新校区、河海大学常州新校区建设，推进设立常州医学院，完善在常高校学科布局。探索高等教育多元发展，引进境外高水平高校开展中外合作办学，提升高等教育国际化水平。引入国内外知名高校设立研究院所或名师工作室，打造高等教育服务地方经济发展新平台。加快提升高等教育内涵层次，支持常州大学创建江苏高水平大学和地方领军型大学，支持常州工学院建设高水平应用型地方大学，整合高职教育园区资源规划组建江苏应用技术大学（高职本科），支持有条件高校加强一流学科、高水平专业和产业学院建设，构建产教融合协同育人新模式。</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促进终身教育开放融通。完善以开放大学为龙头的社区教育网络，推动线上教育、函授（业余）教育、开放教育等高等学历继续教育融合发展，健全学历教育与非学历教育、职前教育与职后教育衔接机制，大力发展职工教育、城乡社区教育、老年教育，人均受教育水平全省领先。加强终身教育数字化平台建设，丰富教育产品。完善注册学习和弹性学习制度，推动各类学习型组织建设，完善终身学习服务体系，打造现代化学习型城市。</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教育教学特色品质。全面实施素质教育，构建新型学校德育体系，完善教育评价制度，多措并举实施综合实践课程，培养学生核心素养。深入推进“基础教育课程改革示范实验区”建设。加强普通高中新课程新教材实施国家级示范区建设，加强实验教学和创新实验室建设，实施拔尖创新人才培养工程。推进教育信息化基础设施和应用环境建设，打造一批智慧校园、智能课堂，构建支持个性学习的教育云服务体系和网络课程平台。实施师生信息素养能力提升工程，加快建设以“基于教学改革、融合信息技术的新型教与学模式”为核心内容的教育部实验区。加强教育对外交流与合作，培育一批基础教育对外交流项目，建设一批高水平中外合作办学机构。深化体教融合，持续推进青少年体质健康提升等工程，推进“名校办名队”、市队校办（联办）等模式，拓展青少年体育竞赛和活动平台。</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专栏16-1</w:t>
            </w:r>
            <w:r>
              <w:rPr>
                <w:rFonts w:hint="eastAsia" w:eastAsia="方正仿宋_GBK"/>
                <w:snapToGrid w:val="0"/>
                <w:kern w:val="0"/>
                <w:sz w:val="28"/>
                <w:szCs w:val="28"/>
              </w:rPr>
              <w:t xml:space="preserve">  </w:t>
            </w:r>
            <w:r>
              <w:rPr>
                <w:rFonts w:eastAsia="方正仿宋_GBK"/>
                <w:snapToGrid w:val="0"/>
                <w:kern w:val="0"/>
                <w:sz w:val="28"/>
                <w:szCs w:val="28"/>
              </w:rPr>
              <w:t>高质量现代教育体系重点工程</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基础教育：实施改扩建、新建幼儿园63所、小学45所、初中29所、高中12所；</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职业教育：新建、改扩建职业院校3所，国家级“职教特色小镇”，常州科教城产教融合创新园区一期项目，谋划建设应用技术大学；</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高等教育：河海大学常州新校区，南航天目湖校区（二期），常州医学院。</w:t>
            </w:r>
          </w:p>
        </w:tc>
      </w:tr>
    </w:tbl>
    <w:p>
      <w:pPr>
        <w:spacing w:before="240" w:after="240" w:line="580" w:lineRule="exact"/>
        <w:jc w:val="center"/>
        <w:rPr>
          <w:rFonts w:ascii="方正楷体_GBK" w:eastAsia="方正楷体_GBK"/>
          <w:sz w:val="32"/>
          <w:szCs w:val="32"/>
        </w:rPr>
      </w:pPr>
      <w:bookmarkStart w:id="147" w:name="_Toc58576693"/>
      <w:bookmarkStart w:id="148" w:name="_Toc55403963"/>
      <w:r>
        <w:rPr>
          <w:rFonts w:ascii="方正楷体_GBK" w:eastAsia="方正楷体_GBK"/>
          <w:sz w:val="32"/>
          <w:szCs w:val="32"/>
        </w:rPr>
        <w:t>第四节  全面推进健康常州建设</w:t>
      </w:r>
      <w:bookmarkEnd w:id="147"/>
      <w:bookmarkEnd w:id="14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织牢织密公共卫生防护网。把人民健康放在优先发展的战略地位，推动“将健康融入所有政策”，筑牢公共卫生防线。加强公共卫生应急体系建设，细化完善突发公共卫生事件应急和医疗救治预案，建立突发公共卫生应急物资保障机制，提高重大突发公共卫生事件应对能力。改革完善疾病预防控制体系，坚持防治结合、联防联控、群防群控，强化市区两级疾病预防控制中心能力建设，构建四级公共卫生监测预警网络，建立症候群和异常健康事件监测预警系统，提高新发突发传染病、不明原因疾病早发现预警能力，推进重大疫情常态化精准防控。加强医疗救治体系建设，全面提升县级医院救治能力，加快完善重大疫情和城市传染病分级救治网络，推进区域公共卫生中心实验室、市疾控中心检验检测大楼建设。提高常见病慢性病防治能力。加强基层公共卫生体系建设，建设一批区域性医疗卫生中心，提供网格化健康服务，优化“15分钟健康服务圈”。</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升医疗服务能力和质量。推动医疗资源布局优化与提质扩容，组织实施一批医疗卫生机构新建和改扩建项目，加快与省内外知名医疗机构开展紧密型高端合作，支持医学中心、专科医院、重点科室建设，推进市第一人民医院新北院区、市第二人民医院天宁院区、市中医医院钟楼院区等建设。提高基层医疗卫生服务能力，实施家庭医生签约服务提效工程，深化城市紧密型和专科共建型医联体、县域医共体建设。规范医疗服务行为，实施医疗服务质量提升行动，构建和谐医患关系。加强卫生健康科技支撑，大力发展智慧医疗，构建大健康医疗数据中心；积极开展“智能+互联网+医疗健康”便民惠民活动，发展远程医疗服务，开展互联网医院、云医院试点建设。完善中医药公共卫生服务体系，统筹推进中医药诊疗救治能力提升、防控科研体系建设与高素质特色人才引培，深入实施孟河医派传承创新工程。实施卫生人才引育提升计划和基层卫生人才强基工程，强化医学科技创新能力，推进常州卫生高等职业技术学校迁建。到2025年，新增三级甲等医院4家。</w:t>
      </w:r>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提升全民健康素养。</w:t>
      </w:r>
      <w:r>
        <w:rPr>
          <w:rFonts w:eastAsia="方正仿宋_GBK"/>
          <w:snapToGrid w:val="0"/>
          <w:kern w:val="0"/>
          <w:sz w:val="32"/>
          <w:szCs w:val="32"/>
        </w:rPr>
        <w:t>积极开展健康知识普及行动，在做好常态化疫情防控的同时，聚焦影响人民健康的重大疾病和主要问题，广泛深入开展新时代爱国卫生运动。促进城乡人居环境质量整体提升，培育和谐人文生态环境，统筹卫生城镇创建与健康城镇建设，开展健康城镇示范建设。到2025年，实现省级健康促进区全覆盖、国家卫生镇全覆盖，全市居民健康素养水平不低于33%。完善国民健康促进政策，创新社会动员机制，健全健康教育制度，强化重点人群和重大疾病综合防控，从源头上预防和控制重大疾病，实现从以治病为中心转向以健康为中心。加强青少年心理健康服务实体化阵地和网络平台建设，着力提升青少年心理健康辅导和服务水平。推进体医融合发展，建设慢性疾病运动干预中心，加快体育医院发展和社区卫生服务中心运动健康指导门诊建设。</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专栏16-2</w:t>
            </w:r>
            <w:r>
              <w:rPr>
                <w:rFonts w:hint="eastAsia" w:eastAsia="方正仿宋_GBK"/>
                <w:snapToGrid w:val="0"/>
                <w:kern w:val="0"/>
                <w:sz w:val="28"/>
                <w:szCs w:val="28"/>
              </w:rPr>
              <w:t xml:space="preserve">  </w:t>
            </w:r>
            <w:r>
              <w:rPr>
                <w:rFonts w:eastAsia="方正仿宋_GBK"/>
                <w:snapToGrid w:val="0"/>
                <w:kern w:val="0"/>
                <w:sz w:val="28"/>
                <w:szCs w:val="28"/>
              </w:rPr>
              <w:t>实现“更高水平的医疗卫生健康服务”重点工程（项目）</w:t>
            </w:r>
          </w:p>
          <w:p>
            <w:pPr>
              <w:pStyle w:val="5"/>
              <w:pBdr>
                <w:bottom w:val="none" w:color="auto" w:sz="0" w:space="0"/>
              </w:pBdr>
              <w:adjustRightInd w:val="0"/>
              <w:spacing w:line="440" w:lineRule="exact"/>
              <w:ind w:firstLine="560" w:firstLineChars="200"/>
              <w:jc w:val="left"/>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公共卫生服务体系建设：加强疾病预防体系建设项目7个，独立发热门诊和感染楼建设项目9个，公共卫生临床救治中心建设项目2</w:t>
            </w:r>
            <w:r>
              <w:rPr>
                <w:rFonts w:ascii="Times New Roman" w:hAnsi="Times New Roman" w:eastAsia="方正仿宋_GBK"/>
                <w:snapToGrid w:val="0"/>
                <w:spacing w:val="-6"/>
                <w:kern w:val="0"/>
                <w:sz w:val="28"/>
                <w:szCs w:val="28"/>
              </w:rPr>
              <w:t>个，核酸检测能力提升建设项目1个，急救转运能力提升建设项目4个；</w:t>
            </w:r>
          </w:p>
          <w:p>
            <w:pPr>
              <w:pStyle w:val="5"/>
              <w:pBdr>
                <w:bottom w:val="none" w:color="auto" w:sz="0" w:space="0"/>
              </w:pBdr>
              <w:adjustRightInd w:val="0"/>
              <w:spacing w:line="440" w:lineRule="exact"/>
              <w:ind w:firstLine="548" w:firstLineChars="196"/>
              <w:jc w:val="left"/>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 xml:space="preserve">健康资源均衡布局：医疗资源布局优化调整建设项目38个，健康养老服务体系建设项目9个； </w:t>
            </w:r>
          </w:p>
          <w:p>
            <w:pPr>
              <w:pStyle w:val="5"/>
              <w:pBdr>
                <w:bottom w:val="none" w:color="auto" w:sz="0" w:space="0"/>
              </w:pBdr>
              <w:adjustRightInd w:val="0"/>
              <w:spacing w:line="440" w:lineRule="exact"/>
              <w:ind w:firstLine="540"/>
              <w:jc w:val="left"/>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高质量发展配套保障：重大疾病防治研究协同创新中心建设项目3个，医疗教育建设项目 2个，医疗环境配套保障建设项目5个，智慧健康建设项目5个，居民健康行为养成和健康素养提升工程建设项目2个。</w:t>
            </w:r>
          </w:p>
        </w:tc>
      </w:tr>
    </w:tbl>
    <w:p>
      <w:pPr>
        <w:spacing w:before="240" w:after="240" w:line="580" w:lineRule="exact"/>
        <w:jc w:val="center"/>
        <w:rPr>
          <w:rFonts w:ascii="方正楷体_GBK" w:eastAsia="方正楷体_GBK"/>
          <w:sz w:val="32"/>
          <w:szCs w:val="32"/>
        </w:rPr>
      </w:pPr>
      <w:bookmarkStart w:id="149" w:name="_Toc55403964"/>
      <w:bookmarkStart w:id="150" w:name="_Toc58576694"/>
      <w:r>
        <w:rPr>
          <w:rFonts w:ascii="方正楷体_GBK" w:eastAsia="方正楷体_GBK"/>
          <w:sz w:val="32"/>
          <w:szCs w:val="32"/>
        </w:rPr>
        <w:t>第五节  健全多层次社会保障体系</w:t>
      </w:r>
      <w:bookmarkEnd w:id="149"/>
      <w:bookmarkEnd w:id="150"/>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更稳定的社会保险体系。健全城乡统一的社会保险制度，实现企业职工基本养老保险全市统收统支、应保尽保，全面实施机关事业单位职业年金制度，鼓励有条件企业单位设立企业年金制度，稳步推进基本医疗保险和生育保险市级统筹，健全失业、工伤保险制度。深入推进全民参保，全面开展“同舟计划”专项行动。推动基本医疗保险、大病保险与医疗救助精准衔接，深化长期护理保险试点，加快发展商业健康保险、企业补充医疗保险，支持社会力量参与保险承办服务。大力实施“智慧医保”工程，完善参保单位和个人信息库，推进市级医保大数据中心建设，加强与相关平台融合对接。建立社会保险违法失信联合惩戒机制，加强社会保险风险管控及精细化管理。</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更可靠的社会救助体系。深化“互联网+社会救助”，推进智慧大救助管理服务平台建设，创新归口管理、综合救助、统一受理的救助模式，实现“一门受理、一网通办、智能识别、精准救助、阳光运行”。进一步构建以基本生活救助、专项社会救助、急难社会救助为主体，社会力量参与为补充的分层分类社会救助政策体系。落实基本生活救助标准动态调整机制，持续提升低保、特困等困难群体救助标准，适度扩大低保、临时救助覆盖面，加强救助对象精准核查和动态管理，创新“物质保障+服务帮扶”救助方式。提升救助保障能力及法治化程度。</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持续完善住房保障体系。</w:t>
      </w:r>
      <w:r>
        <w:rPr>
          <w:rFonts w:eastAsia="方正仿宋_GBK"/>
          <w:bCs/>
          <w:snapToGrid w:val="0"/>
          <w:kern w:val="0"/>
          <w:sz w:val="32"/>
          <w:szCs w:val="32"/>
        </w:rPr>
        <w:t>坚持“房住不炒”定位，强化住房居住属性，构建以政府为主提供基本保障、以市场为主满足多层次需求的住房供应体系。不断扩大住房保障覆盖面，充分发挥住房公积金在支持住房保障、改善住房条件等方面的作用。提高公租房保障能力，确保城镇中低收入住房困难家庭应保尽保，持续推进公共租赁住房货币化保障，</w:t>
      </w:r>
      <w:r>
        <w:rPr>
          <w:rFonts w:eastAsia="方正仿宋_GBK"/>
          <w:snapToGrid w:val="0"/>
          <w:kern w:val="0"/>
          <w:sz w:val="32"/>
          <w:szCs w:val="32"/>
        </w:rPr>
        <w:t>大力培育和规范</w:t>
      </w:r>
      <w:r>
        <w:rPr>
          <w:rFonts w:eastAsia="方正仿宋_GBK"/>
          <w:bCs/>
          <w:snapToGrid w:val="0"/>
          <w:kern w:val="0"/>
          <w:sz w:val="32"/>
          <w:szCs w:val="32"/>
        </w:rPr>
        <w:t>住房租赁市场，</w:t>
      </w:r>
      <w:r>
        <w:rPr>
          <w:rFonts w:eastAsia="方正仿宋_GBK"/>
          <w:snapToGrid w:val="0"/>
          <w:kern w:val="0"/>
          <w:sz w:val="32"/>
          <w:szCs w:val="32"/>
        </w:rPr>
        <w:t>完善住房租赁制度，多渠道增加租赁住房供应</w:t>
      </w:r>
      <w:r>
        <w:rPr>
          <w:rFonts w:eastAsia="方正仿宋_GBK"/>
          <w:bCs/>
          <w:snapToGrid w:val="0"/>
          <w:kern w:val="0"/>
          <w:sz w:val="32"/>
          <w:szCs w:val="32"/>
        </w:rPr>
        <w:t>。深入实施老旧小区综合整治工程，加快危旧房改造，开展“大板房”专项治理，推进老旧小区加装电梯，推进拆迁安置房权证办理。创新物业管理模式，实现物业管理公共服务平台全覆盖。完善农房建设管理机制，有序推进农村住房更新改造。</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筑牢民生保障底线</w:t>
      </w:r>
      <w:r>
        <w:rPr>
          <w:rFonts w:eastAsia="方正仿宋_GBK"/>
          <w:bCs/>
          <w:snapToGrid w:val="0"/>
          <w:kern w:val="0"/>
          <w:sz w:val="32"/>
          <w:szCs w:val="32"/>
        </w:rPr>
        <w:t>。</w:t>
      </w:r>
      <w:r>
        <w:rPr>
          <w:rFonts w:eastAsia="方正仿宋_GBK"/>
          <w:snapToGrid w:val="0"/>
          <w:kern w:val="0"/>
          <w:sz w:val="32"/>
          <w:szCs w:val="32"/>
        </w:rPr>
        <w:t>建立解决相对贫困、防范和化解“因病致贫、因病返贫”长效机制，持续深化“阳光扶贫”，合理确定相对贫困人口标准，推动实现建档立卡低收入人口基本公共服务全覆盖，推进精准扶贫长效机制向城市覆盖、向支出型贫困延伸。健全兜底保障政策体系，构建常州困难群体信息库，及时将符合条件的贫困人口全部纳入兜底保障范围，实施新一轮茅山老区“百千万”帮扶工程。优化基本公共服务配置标准，提升农村地区、贫困地区基本公共服务保障能力，创新基本公共服务供给方式。</w:t>
      </w:r>
      <w:bookmarkStart w:id="151" w:name="_Toc55403965"/>
    </w:p>
    <w:p>
      <w:pPr>
        <w:spacing w:before="240" w:after="240" w:line="580" w:lineRule="exact"/>
        <w:jc w:val="center"/>
        <w:rPr>
          <w:rFonts w:ascii="方正楷体_GBK" w:eastAsia="方正楷体_GBK"/>
          <w:sz w:val="32"/>
          <w:szCs w:val="32"/>
        </w:rPr>
      </w:pPr>
      <w:bookmarkStart w:id="152" w:name="_Toc58576695"/>
      <w:r>
        <w:rPr>
          <w:rFonts w:ascii="方正楷体_GBK" w:eastAsia="方正楷体_GBK"/>
          <w:sz w:val="32"/>
          <w:szCs w:val="32"/>
        </w:rPr>
        <w:t>第六节  促进人口长期均衡发展</w:t>
      </w:r>
      <w:bookmarkEnd w:id="151"/>
      <w:bookmarkEnd w:id="152"/>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实施更加积极的人口政策。</w:t>
      </w:r>
      <w:r>
        <w:rPr>
          <w:rFonts w:eastAsia="方正仿宋_GBK"/>
          <w:bCs/>
          <w:snapToGrid w:val="0"/>
          <w:kern w:val="0"/>
          <w:sz w:val="32"/>
          <w:szCs w:val="32"/>
        </w:rPr>
        <w:t>加强人口与经济社会发展战略统筹，强化人口导入，完善面向重点外来人群的市民化政策体系，进一步放开放宽城镇落户限制，推动人口向中心城区、重点城镇集聚。到2025年，常住人口城镇化率达到80%左右。加强人口精准服务管理，健全完善人口基础信息库，建立人口预测预报制度，构建城市人口与产业质效、城镇空间、城乡治理、社会建设有机统一的联动调控机制。深入实施人口素质提升工程，全面提高各类劳动力供给质效，打造人力资源强市。</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健全家庭发展支持体系。完善以家庭为单位的税收、抚育、赡养等政策，基本公共服务对家庭实现全覆盖。构建生育友好型社会环境，完善计划生育家庭奖励扶助、特别扶助制度。提高婚姻登记、收养登记规范化水平，争创婚俗改革试点城市。规范提升婴幼儿照护服务体系，构建普惠安全的公共托育服务体系。推进殡葬综合改革，优化殡葬服务，满足“逝有所安”。构建覆盖城乡的家庭教育指导服务体系，实施科学家教，传承优良家风，开展“五好家庭”创建和“最美家庭”寻找等活动。加大对残疾人家庭、贫困家庭、老年空巢家庭、单亲家庭等帮扶支持力度。</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积极应对人口老龄化。提升老龄健康服务，健全完善以基层医疗卫生机构为基础、老年医院和综合性医院老年医学科为主阵地的老年医疗服务网络，推动基层医疗卫生机构增设康复、护理和安宁疗护床位，开展和延伸居家护理，推进家庭病床建设，开展老年人中医药健康管理服务项目。建设居家社区机构相协调、医养康养相结合的养老服务体系，促进养老服务高质量发展。统筹规划养老设施空间布局，促进养老资源共享。加快养老服务地方立法进程，完善养老服务制度设计。促进多元化养老服务供给，提高专业化居家上门服务覆盖率，开设家庭养老照护床位，完善社区养老服务网络，重点打造社区养老服务综合体和日间照料服务中心。提升养老机构服务质量，增加护理型床位供给，长效推进养老机构等级评定，强化养老护理从业人员队伍建设，打造多层次智慧养老服务体系。积极融入长三角养老服务一体化，推进养老领域公共服务接轨。</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重点群体共享发展。坚持男女平等基本国策，保障妇女儿童合法权益，提升母婴安全、妇幼健康保障能力。促进婴幼儿照护服务发展，建设一批不同类型的婴幼儿照护服务示范机构，基本形成主体多元、管理规范、服务优质、覆盖城乡的婴幼儿照护服务体系。建立健全涵盖困境儿童分类保障、农村留守儿童关爱保护及其他儿童福利工作的整体性儿童福利服务体系；健全未成年人保护工作体制机制，建设未成年人心理健康服务体系，打造儿童友好型城市（社区）。大力实施青年优先发展促进工程，完善青年发展政策体系，营造有利于青年发展的良好环境。健全残疾人能力发展政策体系，完善残疾人“两项补贴”制度，推进康复辅助器具社区租赁和精神障碍社区康复服务，完善残疾人福利制度和服务体系。健全退役军人保障体系，完善移交安置制度，加大岗位筹集，推行“阳光安置”，促进人岗相适；优化退役军人就业创业环境，推进各级退役军人服务中心（站）规范化、标准化建设；做好拥军优属、拥政爱民工作，开展双拥模范城创建活动，巩固军政军民团结。</w:t>
      </w:r>
    </w:p>
    <w:tbl>
      <w:tblPr>
        <w:tblStyle w:val="6"/>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专栏16-3</w:t>
            </w:r>
            <w:r>
              <w:rPr>
                <w:rFonts w:hint="eastAsia" w:eastAsia="方正仿宋_GBK"/>
                <w:snapToGrid w:val="0"/>
                <w:kern w:val="0"/>
                <w:sz w:val="28"/>
                <w:szCs w:val="28"/>
              </w:rPr>
              <w:t xml:space="preserve">  </w:t>
            </w:r>
            <w:r>
              <w:rPr>
                <w:rFonts w:eastAsia="方正仿宋_GBK"/>
                <w:snapToGrid w:val="0"/>
                <w:kern w:val="0"/>
                <w:sz w:val="28"/>
                <w:szCs w:val="28"/>
              </w:rPr>
              <w:t>民政和社会保障重点工程（项目）</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常州市德安医院功能提升工程、市救助管理站迁建工程、市福利院护理院整体改造项目、“常州市为老综合服务平台”项目、新北综合养老服务中心、溧阳上姚殡仪服务中心项目、金坛南洲里桑榆堂颐养中心、茅山颐园医养小镇二期项目、溧阳中德富尔达康颐社区一期项目、溧阳特困人员服务保障中心、社区居家养老服务设施和困难老人居家适老化改造项目、全国示范型退役军人服务中心（站）、邹区龙潭陵园异地新建项目。</w:t>
            </w:r>
          </w:p>
        </w:tc>
      </w:tr>
      <w:bookmarkEnd w:id="140"/>
    </w:tbl>
    <w:p>
      <w:pPr>
        <w:spacing w:line="580" w:lineRule="exact"/>
        <w:jc w:val="center"/>
        <w:rPr>
          <w:rFonts w:hint="eastAsia" w:ascii="方正楷体_GBK" w:eastAsia="方正楷体_GBK"/>
          <w:sz w:val="32"/>
          <w:szCs w:val="32"/>
        </w:rPr>
      </w:pPr>
    </w:p>
    <w:p>
      <w:pPr>
        <w:pStyle w:val="4"/>
        <w:adjustRightInd w:val="0"/>
        <w:spacing w:line="570" w:lineRule="exact"/>
        <w:jc w:val="center"/>
        <w:outlineLvl w:val="0"/>
        <w:rPr>
          <w:rFonts w:hint="eastAsia" w:ascii="方正小标宋_GBK" w:hAnsi="Times New Roman" w:eastAsia="方正小标宋_GBK"/>
          <w:snapToGrid w:val="0"/>
          <w:kern w:val="0"/>
          <w:sz w:val="44"/>
          <w:szCs w:val="44"/>
        </w:rPr>
      </w:pPr>
      <w:bookmarkStart w:id="153" w:name="_Toc58576696"/>
      <w:r>
        <w:rPr>
          <w:rFonts w:hint="eastAsia" w:ascii="方正小标宋_GBK" w:hAnsi="Times New Roman" w:eastAsia="方正小标宋_GBK"/>
          <w:snapToGrid w:val="0"/>
          <w:kern w:val="0"/>
          <w:sz w:val="44"/>
          <w:szCs w:val="44"/>
        </w:rPr>
        <w:t>第六篇  建设高效能治理示范城市</w:t>
      </w:r>
      <w:bookmarkEnd w:id="153"/>
    </w:p>
    <w:p>
      <w:pPr>
        <w:pStyle w:val="4"/>
        <w:adjustRightInd w:val="0"/>
        <w:spacing w:line="570" w:lineRule="exact"/>
        <w:jc w:val="center"/>
        <w:outlineLvl w:val="0"/>
        <w:rPr>
          <w:rFonts w:ascii="Times New Roman" w:hAnsi="Times New Roman" w:eastAsia="方正仿宋_GBK"/>
          <w:snapToGrid w:val="0"/>
          <w:kern w:val="0"/>
          <w:sz w:val="32"/>
          <w:szCs w:val="32"/>
        </w:rPr>
      </w:pPr>
    </w:p>
    <w:p>
      <w:pPr>
        <w:spacing w:after="240" w:line="580" w:lineRule="exact"/>
        <w:jc w:val="center"/>
        <w:rPr>
          <w:rFonts w:hint="eastAsia" w:ascii="方正黑体_GBK" w:eastAsia="方正黑体_GBK"/>
          <w:sz w:val="32"/>
          <w:szCs w:val="32"/>
        </w:rPr>
      </w:pPr>
      <w:bookmarkStart w:id="154" w:name="_Toc58576697"/>
      <w:r>
        <w:rPr>
          <w:rFonts w:hint="eastAsia" w:ascii="方正黑体_GBK" w:eastAsia="方正黑体_GBK"/>
          <w:sz w:val="32"/>
          <w:szCs w:val="32"/>
        </w:rPr>
        <w:t>第十七章  建设一流法治城市</w:t>
      </w:r>
      <w:bookmarkEnd w:id="154"/>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坚持党的领导、人民当家作主、依法治市有机统一，不断提升法治常州、法治政府、法治社会一体建设水平，切实保障社会公平正义和人民权利。</w:t>
      </w:r>
    </w:p>
    <w:p>
      <w:pPr>
        <w:spacing w:before="240" w:after="240" w:line="580" w:lineRule="exact"/>
        <w:jc w:val="center"/>
        <w:rPr>
          <w:rFonts w:ascii="方正楷体_GBK" w:eastAsia="方正楷体_GBK"/>
          <w:sz w:val="32"/>
          <w:szCs w:val="32"/>
        </w:rPr>
      </w:pPr>
      <w:bookmarkStart w:id="155" w:name="_Toc55403994"/>
      <w:bookmarkStart w:id="156" w:name="_Toc58576698"/>
      <w:r>
        <w:rPr>
          <w:rFonts w:ascii="方正楷体_GBK" w:eastAsia="方正楷体_GBK"/>
          <w:sz w:val="32"/>
          <w:szCs w:val="32"/>
        </w:rPr>
        <w:t>第一节  发展社会主义民主政治</w:t>
      </w:r>
      <w:bookmarkEnd w:id="155"/>
      <w:bookmarkEnd w:id="156"/>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坚持和完善人民代表大会根本政治制度，支持和保证人大及其常委会依法行使职权，健全人大对“一府一委两院”监督制度。完善人民政协专门协商机构制度，发挥人民政协作为政治组织和民主形式的效能，健全建言资政与凝聚共识双向发力的程序机制，推进政协协商与基层协商的有机衔接，持续建好“有事好商量”议事协商平台。坚持大统战格局，巩固和发展最广泛的爱国统一战线，充分发挥民主党派、工商联和无党派人士作用，凝心聚力推动大团结大联合。实施民族团结进步工程，铸牢中华民族共同体意识。坚持宗教中国化方向，引导宗教与新时代中国特色社会主义相适应。</w:t>
      </w:r>
    </w:p>
    <w:p>
      <w:pPr>
        <w:spacing w:before="240" w:after="240" w:line="580" w:lineRule="exact"/>
        <w:jc w:val="center"/>
        <w:rPr>
          <w:rFonts w:ascii="方正楷体_GBK" w:eastAsia="方正楷体_GBK"/>
          <w:sz w:val="32"/>
          <w:szCs w:val="32"/>
        </w:rPr>
      </w:pPr>
      <w:bookmarkStart w:id="157" w:name="_Toc58576699"/>
      <w:r>
        <w:rPr>
          <w:rFonts w:ascii="方正楷体_GBK" w:eastAsia="方正楷体_GBK"/>
          <w:sz w:val="32"/>
          <w:szCs w:val="32"/>
        </w:rPr>
        <w:t>第二节  建设法治常州</w:t>
      </w:r>
      <w:bookmarkEnd w:id="157"/>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推进地方立法。</w:t>
      </w:r>
      <w:r>
        <w:rPr>
          <w:rFonts w:eastAsia="方正仿宋_GBK"/>
          <w:bCs/>
          <w:snapToGrid w:val="0"/>
          <w:kern w:val="0"/>
          <w:sz w:val="32"/>
          <w:szCs w:val="32"/>
        </w:rPr>
        <w:t>加强地方立法制度建设，健全立法评估论证机制，完善党委领导、人大主导、政府依托、各方参与的立法工作格局。加强重点领域立法，加快城乡建设和管理、生态环境、历史文化保护等领域地方性立法。拓展社会公众参与立法的途径和方式，发挥公众在地方立法工作中的重要作用。</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打造法治政府。全面落实权责清单制度，实现市区镇三级党委政府法律顾问、公职律师制度全覆盖，全面落实重大行政决策事项依法决策机制，</w:t>
      </w:r>
      <w:r>
        <w:rPr>
          <w:rFonts w:eastAsia="方正仿宋_GBK"/>
          <w:bCs/>
          <w:snapToGrid w:val="0"/>
          <w:kern w:val="0"/>
          <w:sz w:val="32"/>
          <w:szCs w:val="32"/>
        </w:rPr>
        <w:t>确保重大行政决策和政策于法有据</w:t>
      </w:r>
      <w:r>
        <w:rPr>
          <w:rFonts w:eastAsia="方正仿宋_GBK"/>
          <w:snapToGrid w:val="0"/>
          <w:kern w:val="0"/>
          <w:sz w:val="32"/>
          <w:szCs w:val="32"/>
        </w:rPr>
        <w:t>。严格规范公正执法，推行行政执法公示制度、执法全过程记录制度、重大执法决定法制审核制度。完善行政权力监督制约机制，全面推进政务公开，健全重大行政决策终身责任追究制度和行政执法过错责任追究机制。加强审计监督，做好常态化“经济体检”。</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司法公信力。深化司法体制综合配套改革，全面落实司法责任制，落实领导干部干预司法活动记录、通报、责任追究制度。深入推进以审判为中心的刑事诉讼制度改革，深化民事诉讼制度改革，落实行政机关负责人出庭应诉制度。完善人民陪审员、人民监督员制度，探索完善执法司法公信力评价制度、执法司法权运行机制和管理监督制约体系。</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法治社会。制定“八五”普法规划，完善普法责任机制。深化法治乡村建设，落实媒体公益普法制度，推进法治文化阵地建设，开展群众性法治文化活动和政府部门、市场主体、基层社区、社会组织法治创建活动。坚持和完善新时代“枫桥经验”，建立健全“一站式”非诉讼纠纷解决机制，完善调解、仲裁、行政裁决、行政复议、诉讼等有机衔接、相互协调的多元化纠纷解决机制。开展信访突出问题专项治理行动，推进信访积案难案有效化解，依法规范信访秩序。加强法治工作队伍建设，建立法治人才激励机制。深入开展“公共法律服务进网格”行动，推进完善“一村（社区）一法律顾问”全覆盖，丰富公共法律服务产品体系。</w:t>
      </w:r>
    </w:p>
    <w:p>
      <w:pPr>
        <w:spacing w:before="240" w:after="240" w:line="580" w:lineRule="exact"/>
        <w:jc w:val="center"/>
        <w:rPr>
          <w:rFonts w:ascii="方正楷体_GBK" w:eastAsia="方正楷体_GBK"/>
          <w:sz w:val="32"/>
          <w:szCs w:val="32"/>
        </w:rPr>
      </w:pPr>
      <w:bookmarkStart w:id="158" w:name="_Toc58576700"/>
      <w:bookmarkStart w:id="159" w:name="_Toc55403995"/>
      <w:r>
        <w:rPr>
          <w:rFonts w:ascii="方正楷体_GBK" w:eastAsia="方正楷体_GBK"/>
          <w:sz w:val="32"/>
          <w:szCs w:val="32"/>
        </w:rPr>
        <w:t>第三节  健全完善监督体系</w:t>
      </w:r>
      <w:bookmarkEnd w:id="15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权力运行制约监督，完善党内监督体系，推进政治监督具体化常态化。推动纪律监督、监察监督、派驻监督、巡察监督统筹衔接，推动党内监督与人大监督、民主监督、行政监督、司法监督、审计监督、群众监督、舆论监督有机贯通、相互协调，完善覆盖法治运行全过程的多元监督体系。建立健全权力规范运行有效机制，全面推进党务、政务、司法和各领域办事公开，建立权力运行可查询、可追溯的反馈机制。深入推进党风廉政建设和反腐败斗争，一体推进不敢腐、不能腐、不想腐，构建标本兼治长效机制，巩固发展风清气正的政治生态。完善干部任职回避、定期轮岗、离任审计等制度，加强对所有行使公权力的公职人员的监督。</w:t>
      </w:r>
    </w:p>
    <w:p>
      <w:pPr>
        <w:spacing w:after="240" w:line="580" w:lineRule="exact"/>
        <w:jc w:val="center"/>
        <w:rPr>
          <w:rFonts w:ascii="方正黑体_GBK" w:eastAsia="方正黑体_GBK"/>
          <w:sz w:val="32"/>
          <w:szCs w:val="32"/>
        </w:rPr>
      </w:pPr>
      <w:bookmarkStart w:id="160" w:name="_Toc58576701"/>
      <w:r>
        <w:rPr>
          <w:rFonts w:ascii="方正黑体_GBK" w:eastAsia="方正黑体_GBK"/>
          <w:sz w:val="32"/>
          <w:szCs w:val="32"/>
        </w:rPr>
        <w:t>第十八章  推进市域治理现代化</w:t>
      </w:r>
      <w:bookmarkEnd w:id="160"/>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完善党委领导、政府负责、民主协商、社会协同、公众参与、法治保障、科技支撑的社会治理体系，营造有机、协调、良性的社会运行生态，推动市域治理体系和治理能力现代化走在前列。</w:t>
      </w:r>
    </w:p>
    <w:p>
      <w:pPr>
        <w:spacing w:before="240" w:after="240" w:line="550" w:lineRule="exact"/>
        <w:jc w:val="center"/>
        <w:rPr>
          <w:rFonts w:ascii="方正楷体_GBK" w:eastAsia="方正楷体_GBK"/>
          <w:sz w:val="32"/>
          <w:szCs w:val="32"/>
        </w:rPr>
      </w:pPr>
      <w:bookmarkStart w:id="161" w:name="_Toc58576702"/>
      <w:r>
        <w:rPr>
          <w:rFonts w:ascii="方正楷体_GBK" w:eastAsia="方正楷体_GBK"/>
          <w:sz w:val="32"/>
          <w:szCs w:val="32"/>
        </w:rPr>
        <w:t>第一节  加强和创新社会治理</w:t>
      </w:r>
      <w:bookmarkEnd w:id="159"/>
      <w:bookmarkEnd w:id="161"/>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构建社会治理共同体。围绕“全国市域社会治理现代化试点合格城市”创建，积极开展社会治理共同体建设等试点试验。强化社会治理制度化保障，加强社会治理领域地方立法。推进社会治理智能化建设，发展“互联网+社会治理”，实施“一心两智”工程，推进市域社会治理现代化指挥中心、“城市智慧脑”和“网格智能针”建设。提高社会治理专业化水平，加强城乡社区工作者职业体系建设，创新社会组织孵化培育机制，打造高素质社会治理领导干部和基层工作人员队伍。</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基层社会治理格局。创新基层治理模式，推广“和谐促进会”“院落自治”“楼宇自治”等“微自治”和“援法议事”民主协商议事，持续推进“万村善治”工程，培养“百姓城管”，健全民约、乡贤等基层群众自治机制，发挥家庭家教家风的重要作用，打造党建引领、多方参与、居民自治的社区治理模式，推进社区治理现代化，全面提升“法治”“共治”“精治”“智治”水平。深入推进网格化治理创新，优化网格设置、人员配备、信息集成中心建设。完善“三社联动”机制，严格执行社区（村）事务准入制度，巩固基层社区“减负增效”成果。建立社会工作站，健全基层公共服务多元供给机制，完善政府购买社会服务机制、“社工+志愿者”联动机制，切实发挥群团组织作用和行业协会商会自律功能。</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全面推进诚信常州建设。聚焦金融、商业与行政管理等领域，健全信用法治体系和标准规范，完善公共信用信息记录、征集、管理和应用等规范制度。优化信用基础设施，推进“互联网+信用”，建立统一的公共信用信息体系和管理系统，健全个人、企业、社会组织等信用信息数据库，促进信用信息和信用产品运用，推动“信用有价”落地。健全覆盖全社会的征信系统，鼓励设立各类征信机构，积极发展第三方信用中介服务市场。</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完善社会治安防控体系。坚持总体国家安全观，坚定维护国家政权安全、制度安全、意识形态安全，全面加强网络安全保障体系和能力建设，严密防范和严厉打击敌对势力渗透、破坏、颠覆、分裂活动。巩固完善扫黑除恶专项斗争长效机制，健全社会治安稳定形势研判分析制度，坚决防范暴力恐怖犯罪、个人极端犯罪、新型网络犯罪、跨国犯罪和多发性治安突出问题，加强重点人员、重点物品、重点部位、重点领域公共安全监管，坚决遏制群死群伤公共安全事故和重特大案事件。升级完善立体化智能化社会治安防控体系，高质量建设智能泛在感知网络，构建以“数据警务”“互联网+警务”“人工智能+警务”为重点的现代化公安科技建设应用新格局。</w:t>
      </w:r>
    </w:p>
    <w:p>
      <w:pPr>
        <w:spacing w:before="240" w:after="240" w:line="550" w:lineRule="exact"/>
        <w:jc w:val="center"/>
        <w:rPr>
          <w:rFonts w:ascii="方正楷体_GBK" w:eastAsia="方正楷体_GBK"/>
          <w:sz w:val="32"/>
          <w:szCs w:val="32"/>
        </w:rPr>
      </w:pPr>
      <w:bookmarkStart w:id="162" w:name="_Toc58576703"/>
      <w:bookmarkStart w:id="163" w:name="_Toc55403996"/>
      <w:r>
        <w:rPr>
          <w:rFonts w:ascii="方正楷体_GBK" w:eastAsia="方正楷体_GBK"/>
          <w:sz w:val="32"/>
          <w:szCs w:val="32"/>
        </w:rPr>
        <w:t>第二节  打造安全发展示范城市</w:t>
      </w:r>
      <w:bookmarkEnd w:id="162"/>
      <w:bookmarkEnd w:id="163"/>
    </w:p>
    <w:p>
      <w:pPr>
        <w:adjustRightInd w:val="0"/>
        <w:snapToGrid w:val="0"/>
        <w:spacing w:line="550" w:lineRule="exact"/>
        <w:ind w:firstLine="640" w:firstLineChars="200"/>
        <w:rPr>
          <w:rFonts w:eastAsia="方正仿宋_GBK"/>
          <w:snapToGrid w:val="0"/>
          <w:kern w:val="0"/>
          <w:sz w:val="32"/>
          <w:szCs w:val="32"/>
        </w:rPr>
      </w:pPr>
      <w:r>
        <w:rPr>
          <w:rFonts w:eastAsia="方正仿宋_GBK"/>
          <w:bCs/>
          <w:snapToGrid w:val="0"/>
          <w:kern w:val="0"/>
          <w:sz w:val="32"/>
          <w:szCs w:val="32"/>
        </w:rPr>
        <w:t>加强安全生产管理。</w:t>
      </w:r>
      <w:r>
        <w:rPr>
          <w:rFonts w:eastAsia="方正仿宋_GBK"/>
          <w:snapToGrid w:val="0"/>
          <w:kern w:val="0"/>
          <w:sz w:val="32"/>
          <w:szCs w:val="32"/>
        </w:rPr>
        <w:t>切实加强源头管控，严格高危行业领域安全准入条件，达不到安全生产条件的一律不予建设和投入生产运行。着力推进安全生产依法治理，构建生产经营单位负责、职工积极参与、政府依法监管、行业自律、群众监督、全社会广泛参与的安全生产格局。深入开展重点行业领域及人员密集场所的安全专项整治工程，加强火灾、高处坠落等易发类事故风险隐患的治理管控。实施科技兴安，实现对重点企业、重点领域、重点区域、重大危险源的“一表清、一网控、一体防”动态监测预警和防控。到2025年，生产安全事故起数和死亡人数累计下降30%左右，杜绝重特大生产安全事故，亿元GDP生产安全事故死亡人数累计下降30%左右。</w:t>
      </w:r>
    </w:p>
    <w:p>
      <w:pPr>
        <w:adjustRightInd w:val="0"/>
        <w:snapToGrid w:val="0"/>
        <w:spacing w:line="550" w:lineRule="exact"/>
        <w:ind w:firstLine="640" w:firstLineChars="200"/>
        <w:rPr>
          <w:rFonts w:eastAsia="方正仿宋_GBK"/>
          <w:snapToGrid w:val="0"/>
          <w:kern w:val="0"/>
          <w:sz w:val="32"/>
          <w:szCs w:val="32"/>
        </w:rPr>
      </w:pPr>
      <w:r>
        <w:rPr>
          <w:rFonts w:eastAsia="方正仿宋_GBK"/>
          <w:bCs/>
          <w:snapToGrid w:val="0"/>
          <w:kern w:val="0"/>
          <w:sz w:val="32"/>
          <w:szCs w:val="32"/>
        </w:rPr>
        <w:t>构建现代化食品药品安全治理体系。</w:t>
      </w:r>
      <w:r>
        <w:rPr>
          <w:rFonts w:eastAsia="方正仿宋_GBK"/>
          <w:snapToGrid w:val="0"/>
          <w:kern w:val="0"/>
          <w:sz w:val="32"/>
          <w:szCs w:val="32"/>
        </w:rPr>
        <w:t>全面推广减药减肥、健康种养等农业绿色生产方式，提高农产品质量安全水平，打造覆盖产地环境、投入品和农产品的智慧监管体系，深入推进国家农产品质量安全市和省农产品质量安全示范区（市、县）建设。加快建设食品药品安全信息数据库和信息交换共享平台，开展食品生产经营、药品流通使用企业（机构）及相关人员信用等级评价，实施“黑名单”制度，建立守信激励和失信惩戒的联合惩戒制度，构建“一处违法、处处受限”的食品药品安全信用监管体系。</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防范化解重大风险。积极防范、应对和化解生态环境、公共卫生、金融、财政、房地产市场、城乡建设、社会领域突发性事件。健全金融风险监测防控体系，严厉打击违法金融活动，化解担保圈和资金链风险。全面落实稳地价、稳房价、稳预期的长效管控机制，促进房地产市场平稳健康发展。强化粮食安全保障，建立与经济社会发展水平相适应的地方政府储备粮储备规模、品种结构等动态调整机制。加强生物资源和生态平衡研究，防控生物安全、生态安全和重大疫情风险。提升多灾种和灾害链综合预测、风险识别、预警预报、精准治理水平。构建风险隐患预警等级体系，合理制定分级分类处置化解方案，健全风险隐患排查、预警、处置和规避机制。</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加强应急管理能力建设。完善事前防范、事中响应、事后恢复并重的应急管理体系，建立重在“从根本上消除事故隐患”的责任链条和工作机制。健全应急联动机制，加强国家综合性消防救援力量，提升人员、物资等应急资源快速集成能力，构建公共安全网格化管理体系。提升重大突发事件处置能力，推进市区两级应急指挥中心建设，完善突发事件预警机制和灾害事故信息发布制度，落实依法办理、舆论引导、社会面管控“三同步”机制。建立市、区、乡镇（街道）三级综合性应急救援队伍，深化区域应急救援协作。深化应急管理综合行政执法改革，加强专业化监管执法能力建设，提高应急管理综合行政执法队伍素质。建设县级消防宣传教育阵地，健全公民安全教育体系，提升全民安全素质和应急意识。</w:t>
      </w:r>
    </w:p>
    <w:p>
      <w:pPr>
        <w:adjustRightInd w:val="0"/>
        <w:snapToGrid w:val="0"/>
        <w:spacing w:line="550" w:lineRule="exact"/>
        <w:ind w:firstLine="640" w:firstLineChars="200"/>
        <w:rPr>
          <w:rFonts w:hint="eastAsia" w:eastAsia="方正仿宋_GBK"/>
          <w:snapToGrid w:val="0"/>
          <w:kern w:val="0"/>
          <w:sz w:val="32"/>
          <w:szCs w:val="32"/>
        </w:rPr>
      </w:pPr>
      <w:r>
        <w:rPr>
          <w:rFonts w:eastAsia="方正仿宋_GBK"/>
          <w:bCs/>
          <w:snapToGrid w:val="0"/>
          <w:kern w:val="0"/>
          <w:sz w:val="32"/>
          <w:szCs w:val="32"/>
        </w:rPr>
        <w:t>完善防灾减灾救灾体系。</w:t>
      </w:r>
      <w:r>
        <w:rPr>
          <w:rFonts w:eastAsia="方正仿宋_GBK"/>
          <w:snapToGrid w:val="0"/>
          <w:kern w:val="0"/>
          <w:sz w:val="32"/>
          <w:szCs w:val="32"/>
        </w:rPr>
        <w:t>坚持以防为主、防抗救结合，深化防灾减灾救灾体制机制改革，加强各级减灾委及其办公室统筹指导和综合协调职能，完善“统一领导、分工负责、分级管理、属地为主”的自然灾害应对体制。全面提升防灾减灾救灾保障能力，健全救灾物资储备体系，加强应急避难场所建设，加强灾害信息员队伍建设，提高报灾核灾专业化水平，加强防灾减灾救灾宣传教育。大力开展公益性应急救护培训，提高群众防灾减灾意识和紧急避险、自救互救能力。</w:t>
      </w:r>
    </w:p>
    <w:p>
      <w:pPr>
        <w:adjustRightInd w:val="0"/>
        <w:snapToGrid w:val="0"/>
        <w:spacing w:line="570" w:lineRule="exact"/>
        <w:ind w:firstLine="640" w:firstLineChars="200"/>
        <w:rPr>
          <w:rFonts w:hint="eastAsia" w:eastAsia="方正仿宋_GBK"/>
          <w:snapToGrid w:val="0"/>
          <w:kern w:val="0"/>
          <w:sz w:val="32"/>
          <w:szCs w:val="32"/>
        </w:rPr>
      </w:pPr>
      <w:r>
        <w:rPr>
          <w:rFonts w:eastAsia="方正仿宋_GBK"/>
          <w:snapToGrid w:val="0"/>
          <w:kern w:val="0"/>
          <w:sz w:val="32"/>
          <w:szCs w:val="32"/>
        </w:rPr>
        <w:br w:type="page"/>
      </w:r>
    </w:p>
    <w:p>
      <w:pPr>
        <w:adjustRightInd w:val="0"/>
        <w:snapToGrid w:val="0"/>
        <w:spacing w:line="580" w:lineRule="exact"/>
        <w:jc w:val="center"/>
        <w:rPr>
          <w:rFonts w:hint="eastAsia" w:ascii="方正小标宋_GBK" w:eastAsia="方正小标宋_GBK"/>
          <w:snapToGrid w:val="0"/>
          <w:kern w:val="0"/>
          <w:sz w:val="44"/>
          <w:szCs w:val="44"/>
        </w:rPr>
      </w:pPr>
      <w:bookmarkStart w:id="164" w:name="_Toc55403997"/>
      <w:bookmarkStart w:id="165" w:name="_Toc58576704"/>
      <w:r>
        <w:rPr>
          <w:rFonts w:hint="eastAsia" w:ascii="方正小标宋_GBK" w:eastAsia="方正小标宋_GBK"/>
          <w:snapToGrid w:val="0"/>
          <w:kern w:val="0"/>
          <w:sz w:val="44"/>
          <w:szCs w:val="44"/>
        </w:rPr>
        <w:t>第七篇  加强规划组织实施</w:t>
      </w:r>
      <w:bookmarkEnd w:id="164"/>
      <w:bookmarkEnd w:id="165"/>
    </w:p>
    <w:p>
      <w:pPr>
        <w:adjustRightInd w:val="0"/>
        <w:snapToGrid w:val="0"/>
        <w:spacing w:line="580" w:lineRule="exact"/>
        <w:jc w:val="center"/>
        <w:rPr>
          <w:rFonts w:hint="eastAsia" w:ascii="方正小标宋_GBK" w:eastAsia="方正小标宋_GBK"/>
          <w:snapToGrid w:val="0"/>
          <w:kern w:val="0"/>
          <w:sz w:val="44"/>
          <w:szCs w:val="44"/>
        </w:rPr>
      </w:pPr>
    </w:p>
    <w:p>
      <w:pPr>
        <w:spacing w:after="240" w:line="580" w:lineRule="exact"/>
        <w:jc w:val="center"/>
        <w:rPr>
          <w:rFonts w:hint="eastAsia" w:ascii="方正黑体_GBK" w:eastAsia="方正黑体_GBK"/>
          <w:sz w:val="32"/>
          <w:szCs w:val="32"/>
        </w:rPr>
      </w:pPr>
      <w:bookmarkStart w:id="166" w:name="_Toc58576705"/>
      <w:bookmarkStart w:id="167" w:name="_Toc55403998"/>
      <w:r>
        <w:rPr>
          <w:rFonts w:hint="eastAsia" w:ascii="方正黑体_GBK" w:eastAsia="方正黑体_GBK"/>
          <w:sz w:val="32"/>
          <w:szCs w:val="32"/>
        </w:rPr>
        <w:t>第十九章  坚持和加强党的全面领导</w:t>
      </w:r>
      <w:bookmarkEnd w:id="166"/>
      <w:bookmarkEnd w:id="167"/>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坚持党对一切工作的领导，充分发挥党总揽全局、协调各方的领导核心作用，把党的领导落实到“十四五”规划组织实施的各领域全过程。</w:t>
      </w:r>
    </w:p>
    <w:p>
      <w:pPr>
        <w:spacing w:before="240" w:after="240" w:line="580" w:lineRule="exact"/>
        <w:jc w:val="center"/>
        <w:rPr>
          <w:rFonts w:ascii="方正楷体_GBK" w:eastAsia="方正楷体_GBK"/>
          <w:sz w:val="32"/>
          <w:szCs w:val="32"/>
        </w:rPr>
      </w:pPr>
      <w:bookmarkStart w:id="168" w:name="_Toc58576706"/>
      <w:bookmarkStart w:id="169" w:name="_Toc55403999"/>
      <w:r>
        <w:rPr>
          <w:rFonts w:ascii="方正楷体_GBK" w:eastAsia="方正楷体_GBK"/>
          <w:sz w:val="32"/>
          <w:szCs w:val="32"/>
        </w:rPr>
        <w:t>第一节  突出政治建设统领</w:t>
      </w:r>
      <w:bookmarkEnd w:id="168"/>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强化党的政治建设统领作用，深入贯彻中共中央关于加强党的政治建设的意见，认真抓好习近平总书记重要指示批示精神的贯彻落实，提高政治站位，保持政治定力，增强政治能力。构建“不忘初心、牢记使命”长效机制，增强“四个意识”，坚定“四个自信”，做到“两个维护”。</w:t>
      </w:r>
    </w:p>
    <w:p>
      <w:pPr>
        <w:spacing w:before="240" w:after="240" w:line="580" w:lineRule="exact"/>
        <w:jc w:val="center"/>
        <w:rPr>
          <w:rFonts w:ascii="方正楷体_GBK" w:eastAsia="方正楷体_GBK"/>
          <w:sz w:val="32"/>
          <w:szCs w:val="32"/>
        </w:rPr>
      </w:pPr>
      <w:bookmarkStart w:id="170" w:name="_Toc58576707"/>
      <w:r>
        <w:rPr>
          <w:rFonts w:ascii="方正楷体_GBK" w:eastAsia="方正楷体_GBK"/>
          <w:sz w:val="32"/>
          <w:szCs w:val="32"/>
        </w:rPr>
        <w:t>第二节  加强思想</w:t>
      </w:r>
      <w:bookmarkEnd w:id="169"/>
      <w:r>
        <w:rPr>
          <w:rFonts w:ascii="方正楷体_GBK" w:eastAsia="方正楷体_GBK"/>
          <w:sz w:val="32"/>
          <w:szCs w:val="32"/>
        </w:rPr>
        <w:t>理论武装</w:t>
      </w:r>
      <w:bookmarkEnd w:id="170"/>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持马克思主义在意识形态领域指导地位的根本制度，用习近平新时代中国特色社会主义思想定向领航，完善理论武装工作体系，创新传播手段和表达方式，办好龙城讲坛系列课堂，推动理想信念教育常态化、制度化，推进党的创新理论通俗化大众化。加强全民国防教育，提高全民国防意识。</w:t>
      </w:r>
    </w:p>
    <w:p>
      <w:pPr>
        <w:spacing w:before="240" w:after="240" w:line="550" w:lineRule="exact"/>
        <w:jc w:val="center"/>
        <w:rPr>
          <w:rFonts w:ascii="方正楷体_GBK" w:eastAsia="方正楷体_GBK"/>
          <w:sz w:val="32"/>
          <w:szCs w:val="32"/>
        </w:rPr>
      </w:pPr>
      <w:bookmarkStart w:id="171" w:name="_Toc55404000"/>
      <w:bookmarkStart w:id="172" w:name="_Toc58576708"/>
      <w:r>
        <w:rPr>
          <w:rFonts w:ascii="方正楷体_GBK" w:eastAsia="方正楷体_GBK"/>
          <w:sz w:val="32"/>
          <w:szCs w:val="32"/>
        </w:rPr>
        <w:t>第三节  坚持全面从严治党</w:t>
      </w:r>
      <w:bookmarkEnd w:id="171"/>
      <w:bookmarkEnd w:id="172"/>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定不移深化全面从严治党，健全党统一领导、全面覆盖、权威高效的监督体系，形成决策科学、执行坚决、监督有力的权力运行机制，营造风清气正的良好政治生态。实施“新思想教育培训工程”，持续发挥党员教育“3211工程”各类载体作用，推动干部作为担当，打造忠诚干净担当的高素质干部队伍，汇聚现代化建设与高质量发展强大正能量。</w:t>
      </w:r>
    </w:p>
    <w:p>
      <w:pPr>
        <w:spacing w:before="240" w:after="240" w:line="580" w:lineRule="exact"/>
        <w:jc w:val="center"/>
        <w:rPr>
          <w:rFonts w:ascii="方正楷体_GBK" w:eastAsia="方正楷体_GBK"/>
          <w:sz w:val="32"/>
          <w:szCs w:val="32"/>
        </w:rPr>
      </w:pPr>
      <w:bookmarkStart w:id="173" w:name="_Toc55404001"/>
      <w:bookmarkStart w:id="174" w:name="_Toc58576709"/>
      <w:r>
        <w:rPr>
          <w:rFonts w:ascii="方正楷体_GBK" w:eastAsia="方正楷体_GBK"/>
          <w:sz w:val="32"/>
          <w:szCs w:val="32"/>
        </w:rPr>
        <w:t>第四节  加强基层党组织建设</w:t>
      </w:r>
      <w:bookmarkEnd w:id="173"/>
      <w:bookmarkEnd w:id="174"/>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深入贯彻落实新时代党的建设总要求和组织路线，以提升组织力为重点，突出政治功能，健全基层组织，优化组织设置，理顺隶属关系，创新活动方式，扩大基层党的组织覆盖和工作覆盖。持续深化“龙城先锋”工程，加强各领域党建工作，加强党支部标准化规范化建设，推动基层党组织全面进步、全面过硬。加强党对基层工作的全面领导，充分发挥各级党组织和党员作用，健全党建带团建、群团工作体系，巩固和发展最广泛的爱国统一战线，团结全市人民为实现“十四五”规划目标共同奋斗。</w:t>
      </w:r>
    </w:p>
    <w:p>
      <w:pPr>
        <w:spacing w:before="240" w:after="240" w:line="580" w:lineRule="exact"/>
        <w:jc w:val="center"/>
        <w:rPr>
          <w:rFonts w:hint="eastAsia" w:ascii="方正黑体_GBK" w:eastAsia="方正黑体_GBK"/>
          <w:sz w:val="32"/>
          <w:szCs w:val="32"/>
        </w:rPr>
      </w:pPr>
      <w:bookmarkStart w:id="175" w:name="_Toc55404002"/>
      <w:bookmarkStart w:id="176" w:name="_Toc58576710"/>
      <w:r>
        <w:rPr>
          <w:rFonts w:hint="eastAsia" w:ascii="方正黑体_GBK" w:eastAsia="方正黑体_GBK"/>
          <w:sz w:val="32"/>
          <w:szCs w:val="32"/>
        </w:rPr>
        <w:t>第二十章  创新规划实施和保障机制</w:t>
      </w:r>
      <w:bookmarkEnd w:id="175"/>
      <w:bookmarkEnd w:id="176"/>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突出重大项目支撑引领，强化政策统筹协调，加强和改善宏观调控，推进规划实施评估考核，健全保障规划实施的长效机制。</w:t>
      </w:r>
    </w:p>
    <w:p>
      <w:pPr>
        <w:spacing w:before="240" w:after="240" w:line="560" w:lineRule="exact"/>
        <w:jc w:val="center"/>
        <w:rPr>
          <w:rFonts w:ascii="方正楷体_GBK" w:eastAsia="方正楷体_GBK"/>
          <w:sz w:val="32"/>
          <w:szCs w:val="32"/>
        </w:rPr>
      </w:pPr>
      <w:bookmarkStart w:id="177" w:name="_Toc58576711"/>
      <w:bookmarkStart w:id="178" w:name="_Toc55404003"/>
      <w:r>
        <w:rPr>
          <w:rFonts w:ascii="方正楷体_GBK" w:eastAsia="方正楷体_GBK"/>
          <w:sz w:val="32"/>
          <w:szCs w:val="32"/>
        </w:rPr>
        <w:t>第一节  突出重大项目支撑引领</w:t>
      </w:r>
      <w:bookmarkEnd w:id="177"/>
      <w:bookmarkEnd w:id="17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科学谋划重大项目。坚持以规划确定项目、以项目落实规划，围绕产业创新、社会民生、生态环境、基础设施等领域，组织实施一批关系全局和长远发展的重大项目。优化重大项目投资领域和区域布局，保持投资规模稳步增长。深入开展重大项目主题年活动。</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要素保障。优化财政支出结构和政府投资结构，优先安排涉及民生福祉的财政支出和项目投入，集中财力保证政府投资重大项目的资金需求。综合利用政府投资补助、贷款贴息等多种方式，鼓励和引导社会资本投资重大项目。抓好重大项目建设用地保障，优先保证地标性产业集群以及重大基础设施、公共服务设施的用地需求。</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重大项目管理。完善重大项目储备机制，建立“重大培育项目、重大前期项目、重大建设项目”的三级梯度管理机制。强化重大项目前期论证，完善重大项目联动推进机制，加快项目落地。强化重大项目建设全过程管理，严格建设程序。完善后评价制度，提高政府投资管理水平和投资效益。</w:t>
      </w:r>
    </w:p>
    <w:p>
      <w:pPr>
        <w:spacing w:before="240" w:after="240" w:line="560" w:lineRule="exact"/>
        <w:jc w:val="center"/>
        <w:rPr>
          <w:rFonts w:ascii="方正楷体_GBK" w:eastAsia="方正楷体_GBK"/>
          <w:sz w:val="32"/>
          <w:szCs w:val="32"/>
        </w:rPr>
      </w:pPr>
      <w:bookmarkStart w:id="179" w:name="_Toc58576712"/>
      <w:bookmarkStart w:id="180" w:name="_Toc55404004"/>
      <w:r>
        <w:rPr>
          <w:rFonts w:ascii="方正楷体_GBK" w:eastAsia="方正楷体_GBK"/>
          <w:sz w:val="32"/>
          <w:szCs w:val="32"/>
        </w:rPr>
        <w:t>第二节  完善政策协同体系建设</w:t>
      </w:r>
      <w:bookmarkEnd w:id="179"/>
      <w:bookmarkEnd w:id="180"/>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完善统一规划体系。</w:t>
      </w:r>
      <w:r>
        <w:rPr>
          <w:rFonts w:eastAsia="方正仿宋_GBK"/>
          <w:bCs/>
          <w:snapToGrid w:val="0"/>
          <w:kern w:val="0"/>
          <w:sz w:val="32"/>
          <w:szCs w:val="32"/>
        </w:rPr>
        <w:t>强化市级发展规划统领作用，建立健全以市级发展规划为统领、空间规划为基础、专项规划和区域规划为支撑的市域规划体系。健全规划管理衔接协调机制，统筹规划全程管理，完善目录清单、衔接审核、实施备案等管理制度，全面履行规划编制规范化程序，构建纵向衔接、横向协调的规划衔接机制，积极推动市级规划综合管理信息平台建设。</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明确规划实施责任。市政府统一组织本规划的实施工作，制定规划实施方案，落实牵头单位和工作责任，明确实施进度和推进措施，逐项落实目标任务。本规划提出的发展目标、重点任务和重大项目，应纳入经济社会发展年度计划，并分解到市有关部门和各辖市（区）。专项规划、各辖市（区）规划由规划编制单位组织实施，制定实施方案，明确进度要求和具体政策，确保规划目标任务有计划、按步骤得到落实。</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政策统筹引导。围绕规划提出的目标任务，加强经济社会发展政策的统筹协调，注重政策目标与政策工具、短期政策与长期政策的衔接配合。充分发挥规划指导作用，创新和完善宏观调控方式，有效引导社会资源，合理配置公共资源。围绕经济社会发展重点领域，研究制定一系列能够有效解决突出矛盾、营造公平环境、激发社会活力的重大政策举措，为实现规划确定的目标任务提供有力支撑。</w:t>
      </w:r>
    </w:p>
    <w:p>
      <w:pPr>
        <w:spacing w:before="240" w:after="240" w:line="560" w:lineRule="exact"/>
        <w:jc w:val="center"/>
        <w:rPr>
          <w:rFonts w:ascii="方正楷体_GBK" w:eastAsia="方正楷体_GBK"/>
          <w:sz w:val="32"/>
          <w:szCs w:val="32"/>
        </w:rPr>
      </w:pPr>
      <w:bookmarkStart w:id="181" w:name="_Toc58576713"/>
      <w:bookmarkStart w:id="182" w:name="_Toc55404005"/>
      <w:r>
        <w:rPr>
          <w:rFonts w:ascii="方正楷体_GBK" w:eastAsia="方正楷体_GBK"/>
          <w:sz w:val="32"/>
          <w:szCs w:val="32"/>
        </w:rPr>
        <w:t>第三节  强化规划评估考核机制</w:t>
      </w:r>
      <w:bookmarkEnd w:id="181"/>
      <w:bookmarkEnd w:id="182"/>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规划监测评估。开展规划指标、政策措施和重大项目实施情况跟踪监测分析，强化动态管理，提高规划实施效果。强化指标约束，实行规划目标责任制，把约束性指标分解落实到市各有关部门、各辖市（区）。强化规划中期评估，自觉接受人民代表大会及其常委会的监督检查。完善规划调整制度，按规定程序依法对规划进行调整或修订。</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严格规划监督考核。建立规划实施定期考核机制，按照规划实施的目标责任和任务分工，全面考核市各有关部门、各辖市（区）的贯彻落实情况。坚持单位自评和统计部门监测相结合，综合运用定量考核与定性评估方法，探索引入第三方评估，提高规划评估考核的科学性、客观性。完善规划实施监督机制，畅通监督渠道，发挥纪委监委、组织人事等部门的监督作用，完善政府向人大、政协报告和沟通机制。</w:t>
      </w:r>
    </w:p>
    <w:p>
      <w:pPr>
        <w:spacing w:before="240" w:after="240" w:line="560" w:lineRule="exact"/>
        <w:jc w:val="center"/>
        <w:rPr>
          <w:rFonts w:hint="eastAsia" w:ascii="方正黑体_GBK" w:eastAsia="方正黑体_GBK"/>
          <w:sz w:val="32"/>
          <w:szCs w:val="32"/>
        </w:rPr>
      </w:pPr>
      <w:bookmarkStart w:id="183" w:name="_Toc55404006"/>
      <w:bookmarkStart w:id="184" w:name="_Toc58576714"/>
      <w:r>
        <w:rPr>
          <w:rFonts w:hint="eastAsia" w:ascii="方正黑体_GBK" w:eastAsia="方正黑体_GBK"/>
          <w:sz w:val="32"/>
          <w:szCs w:val="32"/>
        </w:rPr>
        <w:t>第二十一章  广泛团结凝聚全社会力量</w:t>
      </w:r>
      <w:bookmarkEnd w:id="183"/>
      <w:bookmarkEnd w:id="18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坚持开门问策、集思广益，把加强顶层设计和坚持问计于民统一起来，切实加强公众参与和社会监督，努力营造全社会共同参与和支持规划实施的良好氛围。</w:t>
      </w:r>
    </w:p>
    <w:p>
      <w:pPr>
        <w:spacing w:before="240" w:after="240" w:line="560" w:lineRule="exact"/>
        <w:jc w:val="center"/>
        <w:rPr>
          <w:rFonts w:ascii="方正楷体_GBK" w:eastAsia="方正楷体_GBK"/>
          <w:sz w:val="32"/>
          <w:szCs w:val="32"/>
        </w:rPr>
      </w:pPr>
      <w:bookmarkStart w:id="185" w:name="_Toc55404007"/>
      <w:bookmarkStart w:id="186" w:name="_Toc58576715"/>
      <w:r>
        <w:rPr>
          <w:rFonts w:ascii="方正楷体_GBK" w:eastAsia="方正楷体_GBK"/>
          <w:sz w:val="32"/>
          <w:szCs w:val="32"/>
        </w:rPr>
        <w:t>第一节  加强完善顶层设计</w:t>
      </w:r>
      <w:bookmarkEnd w:id="185"/>
      <w:bookmarkEnd w:id="18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以习近平新时代中国特色社会主义思想为引领，贯彻习近平总书记对“十四五”规划编制实施工作的重要指示，提高政治站位，确保有关工作任务落实。加强顶层设计和统筹协调，实现规划编制体系目标与举措高度统一，促进党的政治理论转化为自觉行动。</w:t>
      </w:r>
    </w:p>
    <w:p>
      <w:pPr>
        <w:spacing w:before="240" w:after="240" w:line="560" w:lineRule="exact"/>
        <w:jc w:val="center"/>
        <w:rPr>
          <w:rFonts w:ascii="方正楷体_GBK" w:eastAsia="方正楷体_GBK"/>
          <w:sz w:val="32"/>
          <w:szCs w:val="32"/>
        </w:rPr>
      </w:pPr>
      <w:bookmarkStart w:id="187" w:name="_Toc55404008"/>
      <w:bookmarkStart w:id="188" w:name="_Toc58576716"/>
      <w:r>
        <w:rPr>
          <w:rFonts w:ascii="方正楷体_GBK" w:eastAsia="方正楷体_GBK"/>
          <w:sz w:val="32"/>
          <w:szCs w:val="32"/>
        </w:rPr>
        <w:t>第二节  始终坚持问计于民</w:t>
      </w:r>
      <w:bookmarkEnd w:id="187"/>
      <w:bookmarkEnd w:id="18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开门问策、集思广益，把加强顶层设计和问计于民统一起来，完善协商民主制度和工作机制，充分听取专家学者、人民群众、企业家和“两代表一委员”意见，吸收有益的新观点和新建议。健全专家咨询论证制度，形成规范化的规划决策咨询机制。充分发挥科研机构、智库等对规划编制实施的辅助支持作用。</w:t>
      </w:r>
    </w:p>
    <w:p>
      <w:pPr>
        <w:spacing w:before="240" w:after="240" w:line="560" w:lineRule="exact"/>
        <w:jc w:val="center"/>
        <w:rPr>
          <w:rFonts w:ascii="方正楷体_GBK" w:eastAsia="方正楷体_GBK"/>
          <w:sz w:val="32"/>
          <w:szCs w:val="32"/>
        </w:rPr>
      </w:pPr>
      <w:bookmarkStart w:id="189" w:name="_Toc58576717"/>
      <w:bookmarkStart w:id="190" w:name="_Toc55404009"/>
      <w:r>
        <w:rPr>
          <w:rFonts w:ascii="方正楷体_GBK" w:eastAsia="方正楷体_GBK"/>
          <w:sz w:val="32"/>
          <w:szCs w:val="32"/>
        </w:rPr>
        <w:t>第三节  切实强化社会监督</w:t>
      </w:r>
      <w:bookmarkEnd w:id="189"/>
      <w:bookmarkEnd w:id="190"/>
    </w:p>
    <w:p>
      <w:pPr>
        <w:adjustRightInd w:val="0"/>
        <w:snapToGrid w:val="0"/>
        <w:spacing w:line="570" w:lineRule="exact"/>
        <w:ind w:firstLine="640" w:firstLineChars="200"/>
        <w:rPr>
          <w:rFonts w:eastAsia="方正仿宋_GBK"/>
          <w:snapToGrid w:val="0"/>
          <w:kern w:val="0"/>
          <w:sz w:val="32"/>
          <w:szCs w:val="32"/>
          <w:lang w:val="zh-CN"/>
        </w:rPr>
      </w:pPr>
      <w:r>
        <w:rPr>
          <w:rFonts w:eastAsia="方正仿宋_GBK"/>
          <w:snapToGrid w:val="0"/>
          <w:kern w:val="0"/>
          <w:sz w:val="32"/>
          <w:szCs w:val="32"/>
        </w:rPr>
        <w:t>发挥社会各界对规划实施情况的监督作用，畅通公众参与规划实施与监督渠道，积极开展公众评价。统筹运用传统媒体和新兴媒体，创新规划宣传工作，增强公众对规划的认知、认可和认同，调动全社会力量共同参与规划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hint="eastAsia" w:ascii="Times New Roman" w:hAnsi="Times New Roman"/>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F2850"/>
    <w:rsid w:val="3299476C"/>
    <w:rsid w:val="38BF2850"/>
    <w:rsid w:val="51C2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next w:val="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2021-03-25T01:15:00Z</dcterms:created>
  <dc:creator>丹丹</dc:creator>
  <cp:lastModifiedBy>青青子衿</cp:lastModifiedBy>
  <dcterms:modified xsi:type="dcterms:W3CDTF">2021-04-26T08:21:00Z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E2A6283E8616468D9CA107FB8B662869</vt:lpwstr>
  </property>
</Properties>
</file>