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914C6">
      <w:pPr>
        <w:jc w:val="left"/>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32"/>
          <w:szCs w:val="32"/>
        </w:rPr>
        <w:t>附件</w:t>
      </w:r>
    </w:p>
    <w:p w14:paraId="466974BE">
      <w:pPr>
        <w:spacing w:line="560" w:lineRule="exact"/>
        <w:jc w:val="center"/>
        <w:rPr>
          <w:rFonts w:hint="default" w:ascii="Times New Roman" w:hAnsi="Times New Roman" w:eastAsia="黑体" w:cs="Times New Roman"/>
          <w:color w:val="auto"/>
          <w:sz w:val="40"/>
          <w:szCs w:val="32"/>
        </w:rPr>
      </w:pPr>
      <w:r>
        <w:rPr>
          <w:rFonts w:hint="eastAsia" w:ascii="Times New Roman" w:hAnsi="Times New Roman" w:eastAsia="方正小标宋_GBK" w:cs="Times New Roman"/>
          <w:color w:val="000000"/>
          <w:sz w:val="40"/>
          <w:szCs w:val="40"/>
        </w:rPr>
        <w:t>镇江高新区“双高协同”</w:t>
      </w:r>
      <w:r>
        <w:rPr>
          <w:rFonts w:ascii="Times New Roman" w:hAnsi="Times New Roman" w:eastAsia="方正小标宋_GBK" w:cs="Times New Roman"/>
          <w:color w:val="000000"/>
          <w:sz w:val="40"/>
          <w:szCs w:val="40"/>
        </w:rPr>
        <w:t>企业创新需求表</w:t>
      </w:r>
      <w:r>
        <w:rPr>
          <w:rFonts w:hint="eastAsia" w:ascii="Times New Roman" w:hAnsi="Times New Roman" w:eastAsia="方正小标宋_GBK" w:cs="Times New Roman"/>
          <w:color w:val="000000"/>
          <w:sz w:val="40"/>
          <w:szCs w:val="40"/>
          <w:lang w:eastAsia="zh-CN"/>
        </w:rPr>
        <w:t>（第二批）</w:t>
      </w:r>
    </w:p>
    <w:tbl>
      <w:tblPr>
        <w:tblStyle w:val="5"/>
        <w:tblW w:w="90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350"/>
        <w:gridCol w:w="3169"/>
        <w:gridCol w:w="456"/>
        <w:gridCol w:w="1199"/>
        <w:gridCol w:w="507"/>
        <w:gridCol w:w="1698"/>
      </w:tblGrid>
      <w:tr w14:paraId="284E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24D64F4E">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企业名称</w:t>
            </w:r>
          </w:p>
        </w:tc>
        <w:tc>
          <w:tcPr>
            <w:tcW w:w="7029" w:type="dxa"/>
            <w:gridSpan w:val="5"/>
            <w:tcBorders>
              <w:left w:val="nil"/>
            </w:tcBorders>
            <w:vAlign w:val="center"/>
          </w:tcPr>
          <w:p w14:paraId="4379C6B4">
            <w:pPr>
              <w:jc w:val="center"/>
              <w:rPr>
                <w:rFonts w:hint="default"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t>江苏柳工机械有限公司</w:t>
            </w:r>
          </w:p>
        </w:tc>
      </w:tr>
      <w:tr w14:paraId="11F3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29B852B4">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联系人</w:t>
            </w:r>
          </w:p>
        </w:tc>
        <w:tc>
          <w:tcPr>
            <w:tcW w:w="3625" w:type="dxa"/>
            <w:gridSpan w:val="2"/>
            <w:tcBorders>
              <w:left w:val="nil"/>
            </w:tcBorders>
            <w:vAlign w:val="center"/>
          </w:tcPr>
          <w:p w14:paraId="0262F54F">
            <w:pPr>
              <w:jc w:val="center"/>
              <w:rPr>
                <w:rFonts w:hint="eastAsia"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t>阮永强</w:t>
            </w:r>
          </w:p>
        </w:tc>
        <w:tc>
          <w:tcPr>
            <w:tcW w:w="1199" w:type="dxa"/>
            <w:vAlign w:val="center"/>
          </w:tcPr>
          <w:p w14:paraId="6FB5A97D">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职务</w:t>
            </w:r>
          </w:p>
        </w:tc>
        <w:tc>
          <w:tcPr>
            <w:tcW w:w="2205" w:type="dxa"/>
            <w:gridSpan w:val="2"/>
            <w:tcBorders>
              <w:left w:val="nil"/>
            </w:tcBorders>
            <w:vAlign w:val="center"/>
          </w:tcPr>
          <w:p w14:paraId="3DC54FEF">
            <w:pPr>
              <w:jc w:val="center"/>
              <w:rPr>
                <w:rFonts w:hint="default"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t>技术管理部部长</w:t>
            </w:r>
          </w:p>
        </w:tc>
      </w:tr>
      <w:tr w14:paraId="076D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1980" w:type="dxa"/>
            <w:gridSpan w:val="2"/>
            <w:vAlign w:val="center"/>
          </w:tcPr>
          <w:p w14:paraId="192E191A">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电子邮箱</w:t>
            </w:r>
          </w:p>
        </w:tc>
        <w:tc>
          <w:tcPr>
            <w:tcW w:w="3625" w:type="dxa"/>
            <w:gridSpan w:val="2"/>
            <w:tcBorders>
              <w:left w:val="nil"/>
            </w:tcBorders>
            <w:vAlign w:val="center"/>
          </w:tcPr>
          <w:p w14:paraId="1D36CAD4">
            <w:pPr>
              <w:jc w:val="center"/>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kern w:val="0"/>
                <w:sz w:val="24"/>
              </w:rPr>
              <w:t>ruanyongqiang@liugong.com</w:t>
            </w:r>
          </w:p>
        </w:tc>
        <w:tc>
          <w:tcPr>
            <w:tcW w:w="1199" w:type="dxa"/>
            <w:vAlign w:val="center"/>
          </w:tcPr>
          <w:p w14:paraId="0459F8F7">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电话</w:t>
            </w:r>
          </w:p>
        </w:tc>
        <w:tc>
          <w:tcPr>
            <w:tcW w:w="2205" w:type="dxa"/>
            <w:gridSpan w:val="2"/>
            <w:tcBorders>
              <w:left w:val="nil"/>
            </w:tcBorders>
            <w:vAlign w:val="center"/>
          </w:tcPr>
          <w:p w14:paraId="680BEF32">
            <w:pPr>
              <w:jc w:val="center"/>
              <w:rPr>
                <w:rFonts w:hint="default" w:ascii="Times New Roman" w:hAnsi="Times New Roman" w:eastAsia="仿宋_GB2312" w:cs="Times New Roman"/>
                <w:color w:val="auto"/>
                <w:kern w:val="0"/>
                <w:sz w:val="24"/>
                <w:lang w:val="en-US" w:eastAsia="zh-CN"/>
              </w:rPr>
            </w:pPr>
            <w:r>
              <w:rPr>
                <w:rFonts w:hint="eastAsia" w:ascii="Times New Roman" w:hAnsi="Times New Roman" w:eastAsia="仿宋_GB2312" w:cs="Times New Roman"/>
                <w:color w:val="auto"/>
                <w:kern w:val="0"/>
                <w:sz w:val="24"/>
                <w:lang w:val="en-US" w:eastAsia="zh-CN"/>
              </w:rPr>
              <w:t>13705288001</w:t>
            </w:r>
          </w:p>
        </w:tc>
      </w:tr>
      <w:tr w14:paraId="2313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2"/>
            <w:vAlign w:val="center"/>
          </w:tcPr>
          <w:p w14:paraId="74EABE62">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产业集群</w:t>
            </w:r>
          </w:p>
        </w:tc>
        <w:tc>
          <w:tcPr>
            <w:tcW w:w="7029" w:type="dxa"/>
            <w:gridSpan w:val="5"/>
            <w:tcBorders>
              <w:left w:val="nil"/>
            </w:tcBorders>
            <w:vAlign w:val="center"/>
          </w:tcPr>
          <w:p w14:paraId="4D2671A1">
            <w:pPr>
              <w:spacing w:line="360" w:lineRule="exact"/>
              <w:rPr>
                <w:rFonts w:hint="default" w:ascii="Times New Roman" w:hAnsi="Times New Roman" w:eastAsia="方正仿宋_GBK" w:cs="Times New Roman"/>
                <w:color w:val="auto"/>
                <w:sz w:val="24"/>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高端装备制造 □生命健康 □数字经济</w:t>
            </w:r>
          </w:p>
          <w:p w14:paraId="6C04821D">
            <w:pPr>
              <w:spacing w:line="360" w:lineRule="exac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4"/>
              </w:rPr>
              <w:t>□新材料 □其他</w:t>
            </w:r>
          </w:p>
        </w:tc>
      </w:tr>
      <w:tr w14:paraId="094F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gridSpan w:val="2"/>
            <w:tcBorders>
              <w:bottom w:val="single" w:color="auto" w:sz="4" w:space="0"/>
            </w:tcBorders>
            <w:vAlign w:val="center"/>
          </w:tcPr>
          <w:p w14:paraId="0EBC1C4E">
            <w:pPr>
              <w:jc w:val="center"/>
              <w:rPr>
                <w:rFonts w:hint="default" w:ascii="Times New Roman" w:hAnsi="Times New Roman" w:eastAsia="黑体" w:cs="Times New Roman"/>
                <w:color w:val="auto"/>
                <w:kern w:val="0"/>
                <w:sz w:val="28"/>
                <w:szCs w:val="28"/>
                <w:lang w:eastAsia="zh-CN"/>
              </w:rPr>
            </w:pPr>
            <w:r>
              <w:rPr>
                <w:rFonts w:hint="default" w:ascii="Times New Roman" w:hAnsi="Times New Roman" w:eastAsia="黑体" w:cs="Times New Roman"/>
                <w:color w:val="auto"/>
                <w:kern w:val="0"/>
                <w:sz w:val="28"/>
                <w:szCs w:val="28"/>
                <w:lang w:eastAsia="zh-CN"/>
              </w:rPr>
              <w:t>重点产业</w:t>
            </w:r>
          </w:p>
        </w:tc>
        <w:tc>
          <w:tcPr>
            <w:tcW w:w="7029" w:type="dxa"/>
            <w:gridSpan w:val="5"/>
            <w:tcBorders>
              <w:left w:val="nil"/>
              <w:bottom w:val="single" w:color="auto" w:sz="4" w:space="0"/>
            </w:tcBorders>
            <w:vAlign w:val="center"/>
          </w:tcPr>
          <w:p w14:paraId="4AF82C65">
            <w:pPr>
              <w:spacing w:line="360" w:lineRule="exact"/>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rPr>
              <w:t>□航空航天（</w:t>
            </w:r>
            <w:r>
              <w:rPr>
                <w:rFonts w:hint="default" w:ascii="Times New Roman" w:hAnsi="Times New Roman" w:eastAsia="方正仿宋_GBK" w:cs="Times New Roman"/>
                <w:color w:val="auto"/>
                <w:sz w:val="24"/>
                <w:lang w:eastAsia="zh-CN"/>
              </w:rPr>
              <w:t>含</w:t>
            </w:r>
            <w:r>
              <w:rPr>
                <w:rFonts w:hint="default" w:ascii="Times New Roman" w:hAnsi="Times New Roman" w:eastAsia="方正仿宋_GBK" w:cs="Times New Roman"/>
                <w:color w:val="auto"/>
                <w:sz w:val="24"/>
              </w:rPr>
              <w:t>低空经济）</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□汽车及零部件（新能源汽车）</w:t>
            </w:r>
          </w:p>
          <w:p w14:paraId="54B2A74B">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□新型电力（新能源）装备</w:t>
            </w:r>
            <w:r>
              <w:rPr>
                <w:rFonts w:hint="default" w:ascii="Times New Roman" w:hAnsi="Times New Roman" w:eastAsia="方正仿宋_GBK" w:cs="Times New Roman"/>
                <w:color w:val="auto"/>
                <w:sz w:val="24"/>
                <w:lang w:eastAsia="zh-CN"/>
              </w:rPr>
              <w:t>（含新型储能与氢能）</w:t>
            </w:r>
            <w:r>
              <w:rPr>
                <w:rFonts w:hint="default" w:ascii="Times New Roman" w:hAnsi="Times New Roman" w:eastAsia="方正仿宋_GBK" w:cs="Times New Roman"/>
                <w:color w:val="auto"/>
                <w:sz w:val="24"/>
              </w:rPr>
              <w:t xml:space="preserve"> </w:t>
            </w:r>
          </w:p>
          <w:p w14:paraId="33AB0268">
            <w:pPr>
              <w:spacing w:line="360" w:lineRule="exact"/>
              <w:rPr>
                <w:rFonts w:hint="default" w:ascii="Times New Roman" w:hAnsi="Times New Roman" w:eastAsia="方正仿宋_GBK" w:cs="Times New Roman"/>
                <w:color w:val="auto"/>
                <w:sz w:val="24"/>
                <w:lang w:val="en-US" w:eastAsia="zh-CN"/>
              </w:rPr>
            </w:pPr>
            <w:r>
              <w:rPr>
                <w:rFonts w:hint="default" w:ascii="Times New Roman" w:hAnsi="Times New Roman" w:eastAsia="方正仿宋_GBK" w:cs="Times New Roman"/>
                <w:color w:val="auto"/>
                <w:sz w:val="24"/>
              </w:rPr>
              <w:t>□医疗器械和生物医药</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w:t>
            </w:r>
            <w:r>
              <w:rPr>
                <w:rFonts w:hint="default" w:ascii="Times New Roman" w:hAnsi="Times New Roman" w:eastAsia="方正仿宋_GBK" w:cs="Times New Roman"/>
                <w:color w:val="auto"/>
                <w:sz w:val="24"/>
                <w:lang w:eastAsia="zh-CN"/>
              </w:rPr>
              <w:t>船舶</w:t>
            </w:r>
            <w:r>
              <w:rPr>
                <w:rFonts w:hint="default" w:ascii="Times New Roman" w:hAnsi="Times New Roman" w:eastAsia="方正仿宋_GBK" w:cs="Times New Roman"/>
                <w:color w:val="auto"/>
                <w:sz w:val="24"/>
              </w:rPr>
              <w:t>海工装备</w:t>
            </w:r>
          </w:p>
          <w:p w14:paraId="3E3BDBBE">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□高性能材料</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 xml:space="preserve">□智能农机装备     </w:t>
            </w:r>
          </w:p>
          <w:p w14:paraId="1EFE7012">
            <w:pPr>
              <w:spacing w:line="360" w:lineRule="exact"/>
              <w:rPr>
                <w:rFonts w:hint="default" w:ascii="Times New Roman" w:hAnsi="Times New Roman" w:eastAsia="方正仿宋_GBK" w:cs="Times New Roman"/>
                <w:color w:val="auto"/>
                <w:sz w:val="24"/>
              </w:rPr>
            </w:pPr>
            <w:r>
              <w:rPr>
                <w:rFonts w:hint="eastAsia"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rPr>
              <w:t>新一代信息技术</w:t>
            </w:r>
            <w:r>
              <w:rPr>
                <w:rFonts w:hint="default" w:ascii="Times New Roman" w:hAnsi="Times New Roman" w:eastAsia="方正仿宋_GBK" w:cs="Times New Roman"/>
                <w:color w:val="auto"/>
                <w:sz w:val="24"/>
                <w:lang w:eastAsia="zh-CN"/>
              </w:rPr>
              <w:t>（含人工智能、具身智能和智能终端、脑机接口）</w:t>
            </w:r>
          </w:p>
          <w:p w14:paraId="158AC82D">
            <w:pPr>
              <w:spacing w:line="360" w:lineRule="exact"/>
              <w:rPr>
                <w:rFonts w:hint="default" w:ascii="Times New Roman" w:hAnsi="Times New Roman" w:eastAsia="方正仿宋_GBK" w:cs="Times New Roman"/>
                <w:color w:val="auto"/>
                <w:sz w:val="28"/>
                <w:szCs w:val="28"/>
              </w:rPr>
            </w:pPr>
            <w:r>
              <w:rPr>
                <w:rFonts w:hint="default" w:ascii="Times New Roman" w:hAnsi="Times New Roman" w:eastAsia="方正仿宋_GBK" w:cs="Times New Roman"/>
                <w:color w:val="auto"/>
                <w:sz w:val="24"/>
              </w:rPr>
              <w:t>□</w:t>
            </w:r>
            <w:r>
              <w:rPr>
                <w:rFonts w:hint="default" w:ascii="Times New Roman" w:hAnsi="Times New Roman" w:eastAsia="方正仿宋_GBK" w:cs="Times New Roman"/>
                <w:color w:val="auto"/>
                <w:sz w:val="24"/>
                <w:lang w:eastAsia="zh-CN"/>
              </w:rPr>
              <w:t>视觉光学</w:t>
            </w:r>
            <w:r>
              <w:rPr>
                <w:rFonts w:hint="default" w:ascii="Times New Roman" w:hAnsi="Times New Roman" w:eastAsia="方正仿宋_GBK" w:cs="Times New Roman"/>
                <w:color w:val="auto"/>
                <w:sz w:val="24"/>
              </w:rPr>
              <w:t xml:space="preserve">  </w:t>
            </w:r>
            <w:r>
              <w:rPr>
                <w:rFonts w:hint="default" w:ascii="Times New Roman" w:hAnsi="Times New Roman" w:eastAsia="方正仿宋_GBK" w:cs="Times New Roman"/>
                <w:color w:val="auto"/>
                <w:sz w:val="24"/>
                <w:lang w:val="en-US" w:eastAsia="zh-CN"/>
              </w:rPr>
              <w:t xml:space="preserve">            </w:t>
            </w:r>
            <w:r>
              <w:rPr>
                <w:rFonts w:hint="default" w:ascii="Times New Roman" w:hAnsi="Times New Roman" w:eastAsia="方正仿宋_GBK" w:cs="Times New Roman"/>
                <w:color w:val="auto"/>
                <w:sz w:val="24"/>
              </w:rPr>
              <w:t xml:space="preserve">  □其他</w:t>
            </w:r>
          </w:p>
        </w:tc>
      </w:tr>
      <w:tr w14:paraId="361B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980" w:type="dxa"/>
            <w:gridSpan w:val="2"/>
            <w:tcBorders>
              <w:bottom w:val="single" w:color="auto" w:sz="4" w:space="0"/>
            </w:tcBorders>
            <w:vAlign w:val="center"/>
          </w:tcPr>
          <w:p w14:paraId="5E7D3037">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主营产品</w:t>
            </w:r>
          </w:p>
        </w:tc>
        <w:tc>
          <w:tcPr>
            <w:tcW w:w="7029" w:type="dxa"/>
            <w:gridSpan w:val="5"/>
            <w:tcBorders>
              <w:left w:val="nil"/>
              <w:bottom w:val="single" w:color="auto" w:sz="4" w:space="0"/>
            </w:tcBorders>
            <w:vAlign w:val="center"/>
          </w:tcPr>
          <w:p w14:paraId="4138DDDE">
            <w:pPr>
              <w:jc w:val="center"/>
              <w:rPr>
                <w:rFonts w:hint="default" w:ascii="Times New Roman" w:hAnsi="Times New Roman" w:eastAsia="仿宋_GB2312" w:cs="Times New Roman"/>
                <w:color w:val="auto"/>
                <w:kern w:val="0"/>
                <w:sz w:val="24"/>
                <w:lang w:val="en-US" w:eastAsia="zh-CN"/>
              </w:rPr>
            </w:pPr>
            <w:r>
              <w:rPr>
                <w:rFonts w:hint="eastAsia" w:ascii="Times New Roman" w:hAnsi="Times New Roman" w:cs="Times New Roman"/>
                <w:color w:val="auto"/>
                <w:sz w:val="24"/>
                <w:lang w:val="en-US" w:eastAsia="zh-CN"/>
              </w:rPr>
              <w:t>高空作业平台</w:t>
            </w:r>
          </w:p>
        </w:tc>
      </w:tr>
      <w:tr w14:paraId="0A8E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980" w:type="dxa"/>
            <w:gridSpan w:val="2"/>
            <w:tcBorders>
              <w:top w:val="single" w:color="auto" w:sz="4" w:space="0"/>
              <w:left w:val="nil"/>
              <w:bottom w:val="single" w:color="auto" w:sz="4" w:space="0"/>
              <w:right w:val="nil"/>
            </w:tcBorders>
            <w:vAlign w:val="center"/>
          </w:tcPr>
          <w:p w14:paraId="06A652CD">
            <w:pPr>
              <w:rPr>
                <w:rFonts w:hint="default" w:ascii="Times New Roman" w:hAnsi="Times New Roman" w:eastAsia="仿宋_GB2312" w:cs="Times New Roman"/>
                <w:color w:val="auto"/>
                <w:kern w:val="0"/>
                <w:sz w:val="13"/>
                <w:szCs w:val="13"/>
              </w:rPr>
            </w:pPr>
          </w:p>
        </w:tc>
        <w:tc>
          <w:tcPr>
            <w:tcW w:w="7029" w:type="dxa"/>
            <w:gridSpan w:val="5"/>
            <w:tcBorders>
              <w:top w:val="single" w:color="auto" w:sz="4" w:space="0"/>
              <w:left w:val="nil"/>
              <w:bottom w:val="single" w:color="auto" w:sz="4" w:space="0"/>
              <w:right w:val="nil"/>
            </w:tcBorders>
            <w:vAlign w:val="center"/>
          </w:tcPr>
          <w:p w14:paraId="74E2584C">
            <w:pPr>
              <w:rPr>
                <w:rFonts w:hint="default" w:ascii="Times New Roman" w:hAnsi="Times New Roman" w:eastAsia="仿宋_GB2312" w:cs="Times New Roman"/>
                <w:color w:val="auto"/>
                <w:kern w:val="0"/>
                <w:sz w:val="13"/>
                <w:szCs w:val="13"/>
              </w:rPr>
            </w:pPr>
          </w:p>
        </w:tc>
      </w:tr>
      <w:tr w14:paraId="1777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980" w:type="dxa"/>
            <w:gridSpan w:val="2"/>
            <w:vAlign w:val="center"/>
          </w:tcPr>
          <w:p w14:paraId="2EE0E9E3">
            <w:pPr>
              <w:jc w:val="center"/>
              <w:rPr>
                <w:rFonts w:hint="default" w:ascii="Times New Roman" w:hAnsi="Times New Roman" w:eastAsia="黑体" w:cs="Times New Roman"/>
                <w:b/>
                <w:bCs/>
                <w:color w:val="auto"/>
                <w:sz w:val="24"/>
              </w:rPr>
            </w:pPr>
            <w:r>
              <w:rPr>
                <w:rFonts w:hint="default" w:ascii="Times New Roman" w:hAnsi="Times New Roman" w:eastAsia="黑体" w:cs="Times New Roman"/>
                <w:bCs/>
                <w:color w:val="auto"/>
                <w:sz w:val="28"/>
                <w:szCs w:val="28"/>
              </w:rPr>
              <w:t>技术需求名称</w:t>
            </w:r>
          </w:p>
        </w:tc>
        <w:tc>
          <w:tcPr>
            <w:tcW w:w="7029" w:type="dxa"/>
            <w:gridSpan w:val="5"/>
          </w:tcPr>
          <w:p w14:paraId="4FA5CF3E">
            <w:pPr>
              <w:jc w:val="center"/>
              <w:rPr>
                <w:rFonts w:hint="default" w:ascii="Times New Roman" w:hAnsi="Times New Roman" w:eastAsia="仿宋_GB2312" w:cs="Times New Roman"/>
                <w:color w:val="auto"/>
                <w:sz w:val="24"/>
                <w:lang w:val="en-US" w:eastAsia="zh-CN"/>
              </w:rPr>
            </w:pPr>
            <w:r>
              <w:rPr>
                <w:rFonts w:hint="eastAsia" w:ascii="Times New Roman" w:hAnsi="Times New Roman" w:cs="Times New Roman"/>
                <w:color w:val="auto"/>
                <w:sz w:val="24"/>
                <w:lang w:val="en-US" w:eastAsia="zh-CN"/>
              </w:rPr>
              <w:t>高空作业平台作业环境识别技术</w:t>
            </w:r>
          </w:p>
        </w:tc>
      </w:tr>
      <w:tr w14:paraId="3C37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980" w:type="dxa"/>
            <w:gridSpan w:val="2"/>
            <w:tcBorders>
              <w:bottom w:val="single" w:color="auto" w:sz="4" w:space="0"/>
            </w:tcBorders>
            <w:vAlign w:val="center"/>
          </w:tcPr>
          <w:p w14:paraId="34FBB192">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项目总投入</w:t>
            </w:r>
          </w:p>
          <w:p w14:paraId="694E51DC">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（万元）</w:t>
            </w:r>
          </w:p>
        </w:tc>
        <w:tc>
          <w:tcPr>
            <w:tcW w:w="7029" w:type="dxa"/>
            <w:gridSpan w:val="5"/>
            <w:tcBorders>
              <w:bottom w:val="single" w:color="auto" w:sz="4" w:space="0"/>
            </w:tcBorders>
          </w:tcPr>
          <w:p w14:paraId="4F3E6D13">
            <w:pPr>
              <w:snapToGrid w:val="0"/>
              <w:rPr>
                <w:rFonts w:hint="default" w:ascii="Times New Roman" w:hAnsi="Times New Roman" w:eastAsia="仿宋_GB2312" w:cs="Times New Roman"/>
                <w:b w:val="0"/>
                <w:bCs w:val="0"/>
                <w:color w:val="auto"/>
                <w:sz w:val="24"/>
                <w:lang w:val="en-US" w:eastAsia="zh-CN"/>
              </w:rPr>
            </w:pPr>
            <w:r>
              <w:rPr>
                <w:rFonts w:hint="eastAsia" w:ascii="Times New Roman" w:hAnsi="Times New Roman" w:eastAsia="仿宋_GB2312" w:cs="Times New Roman"/>
                <w:b w:val="0"/>
                <w:bCs w:val="0"/>
                <w:color w:val="auto"/>
                <w:sz w:val="24"/>
                <w:lang w:val="en-US" w:eastAsia="zh-CN"/>
              </w:rPr>
              <w:t>100</w:t>
            </w:r>
          </w:p>
        </w:tc>
      </w:tr>
      <w:tr w14:paraId="7D2B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630" w:type="dxa"/>
            <w:vMerge w:val="restart"/>
            <w:vAlign w:val="center"/>
          </w:tcPr>
          <w:p w14:paraId="498A2FDB">
            <w:pPr>
              <w:jc w:val="center"/>
              <w:rPr>
                <w:rFonts w:hint="default" w:ascii="Times New Roman" w:hAnsi="Times New Roman" w:eastAsia="仿宋_GB2312" w:cs="Times New Roman"/>
                <w:color w:val="auto"/>
                <w:kern w:val="0"/>
                <w:sz w:val="24"/>
              </w:rPr>
            </w:pPr>
            <w:r>
              <w:rPr>
                <w:rFonts w:hint="default" w:ascii="Times New Roman" w:hAnsi="Times New Roman" w:eastAsia="黑体" w:cs="Times New Roman"/>
                <w:bCs/>
                <w:color w:val="auto"/>
                <w:sz w:val="28"/>
                <w:szCs w:val="28"/>
              </w:rPr>
              <w:t>技术需求情况说明</w:t>
            </w:r>
          </w:p>
        </w:tc>
        <w:tc>
          <w:tcPr>
            <w:tcW w:w="1350" w:type="dxa"/>
            <w:tcBorders>
              <w:left w:val="nil"/>
              <w:bottom w:val="single" w:color="auto" w:sz="4" w:space="0"/>
            </w:tcBorders>
            <w:vAlign w:val="center"/>
          </w:tcPr>
          <w:p w14:paraId="47AB32C9">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应用场景</w:t>
            </w:r>
          </w:p>
        </w:tc>
        <w:tc>
          <w:tcPr>
            <w:tcW w:w="7029" w:type="dxa"/>
            <w:gridSpan w:val="5"/>
            <w:tcBorders>
              <w:left w:val="nil"/>
              <w:bottom w:val="single" w:color="auto" w:sz="4" w:space="0"/>
            </w:tcBorders>
          </w:tcPr>
          <w:p w14:paraId="0CE4E089">
            <w:pPr>
              <w:snapToGrid w:val="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（主要阐述通过项目的解决，可实现的场景应用）</w:t>
            </w:r>
          </w:p>
          <w:p w14:paraId="030D0285">
            <w:pPr>
              <w:snapToGrid w:val="0"/>
              <w:ind w:firstLine="480" w:firstLineChars="200"/>
              <w:rPr>
                <w:rFonts w:hint="default" w:ascii="Times New Roman" w:hAnsi="Times New Roman" w:eastAsia="方正仿宋_GBK" w:cs="Times New Roman"/>
                <w:color w:val="auto"/>
                <w:sz w:val="24"/>
              </w:rPr>
            </w:pPr>
            <w:r>
              <w:rPr>
                <w:rFonts w:hint="default" w:ascii="Times New Roman" w:hAnsi="Times New Roman" w:cs="Times New Roman"/>
                <w:color w:val="auto"/>
                <w:sz w:val="24"/>
              </w:rPr>
              <w:t>高层建筑幕墙维护、电力设施检修、消防救援及应急抢险等高空作业需求日益增长且环境日趋复杂。高空作业平台的安全风险贯穿于“行驶至工位-展开支腿-举升作业-收车转移”的全流程。传统高空作业平台严重依赖操作员的经验和肉眼观察，在高压线、玻璃幕墙、屋檐桥洞</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地面坑洞、斜坡、管线井盖、低矮障碍物（如工具、材料）以及周边移动的人员与车辆等障碍物密集的复杂场景中，视野盲区大、碰撞</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陷落</w:t>
            </w:r>
            <w:r>
              <w:rPr>
                <w:rFonts w:hint="default" w:ascii="Times New Roman" w:hAnsi="Times New Roman" w:cs="Times New Roman"/>
                <w:color w:val="auto"/>
                <w:sz w:val="24"/>
              </w:rPr>
              <w:t>风险高</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通过本项目的研究，旨在突破基于多传感器融合的实时环境三维感知、高精度动态虚拟环境建模以及时间最优主动避障轨迹规划等核心技术难题。最终目标是研发一套智能化的“环境感知-虚拟建模-主动规划”系统，赋能高空作业平台，使其在</w:t>
            </w:r>
            <w:r>
              <w:rPr>
                <w:rFonts w:hint="eastAsia" w:ascii="Times New Roman" w:hAnsi="Times New Roman" w:cs="Times New Roman"/>
                <w:color w:val="auto"/>
                <w:sz w:val="24"/>
                <w:lang w:val="en-US" w:eastAsia="zh-CN"/>
              </w:rPr>
              <w:t>50</w:t>
            </w:r>
            <w:r>
              <w:rPr>
                <w:rFonts w:hint="default" w:ascii="Times New Roman" w:hAnsi="Times New Roman" w:cs="Times New Roman"/>
                <w:color w:val="auto"/>
                <w:sz w:val="24"/>
              </w:rPr>
              <w:t>米乃至更高的工作高度下，能够像“会飞的机器人”一样，实现自主环境识别、自动规避静态与动态障碍，并规划出安全、高效的最优作业路径</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同时也能</w:t>
            </w:r>
            <w:r>
              <w:rPr>
                <w:rFonts w:hint="default" w:ascii="Times New Roman" w:hAnsi="Times New Roman" w:cs="Times New Roman"/>
                <w:color w:val="auto"/>
                <w:sz w:val="24"/>
              </w:rPr>
              <w:t>识别地面坑洞、斜坡、管线井盖、低矮障碍物（如工具、材料）以及周边移动的人员与车辆这将大幅提升在高风险场景下的作业安全性、自动化水平与工作效率，是发展高端智能装备、培育新质生产力的重要方向。</w:t>
            </w:r>
          </w:p>
        </w:tc>
      </w:tr>
      <w:tr w14:paraId="1E06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3" w:hRule="atLeast"/>
          <w:jc w:val="center"/>
        </w:trPr>
        <w:tc>
          <w:tcPr>
            <w:tcW w:w="630" w:type="dxa"/>
            <w:vMerge w:val="continue"/>
            <w:vAlign w:val="center"/>
          </w:tcPr>
          <w:p w14:paraId="446FEC81">
            <w:pPr>
              <w:rPr>
                <w:rFonts w:hint="default" w:ascii="Times New Roman" w:hAnsi="Times New Roman" w:eastAsia="仿宋_GB2312" w:cs="Times New Roman"/>
                <w:color w:val="auto"/>
                <w:kern w:val="0"/>
                <w:sz w:val="24"/>
              </w:rPr>
            </w:pPr>
          </w:p>
        </w:tc>
        <w:tc>
          <w:tcPr>
            <w:tcW w:w="1350" w:type="dxa"/>
            <w:tcBorders>
              <w:left w:val="nil"/>
              <w:bottom w:val="single" w:color="auto" w:sz="4" w:space="0"/>
            </w:tcBorders>
            <w:vAlign w:val="center"/>
          </w:tcPr>
          <w:p w14:paraId="692B2393">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研究内容</w:t>
            </w:r>
          </w:p>
        </w:tc>
        <w:tc>
          <w:tcPr>
            <w:tcW w:w="7029" w:type="dxa"/>
            <w:gridSpan w:val="5"/>
            <w:tcBorders>
              <w:left w:val="nil"/>
              <w:bottom w:val="single" w:color="auto" w:sz="4" w:space="0"/>
            </w:tcBorders>
            <w:vAlign w:val="top"/>
          </w:tcPr>
          <w:p w14:paraId="051ED887">
            <w:pPr>
              <w:snapToGrid w:val="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（项目研究内容，主要描述实现研究目标的载体，或者是研究目标的具体化。） </w:t>
            </w:r>
          </w:p>
          <w:p w14:paraId="2A9BE7F9">
            <w:pPr>
              <w:snapToGrid w:val="0"/>
              <w:rPr>
                <w:rFonts w:hint="default" w:ascii="Times New Roman" w:hAnsi="Times New Roman" w:cs="Times New Roman"/>
                <w:color w:val="auto"/>
                <w:sz w:val="24"/>
              </w:rPr>
            </w:pPr>
            <w:r>
              <w:rPr>
                <w:rFonts w:hint="default" w:ascii="Times New Roman" w:hAnsi="Times New Roman" w:cs="Times New Roman"/>
                <w:b/>
                <w:bCs/>
                <w:color w:val="auto"/>
                <w:sz w:val="24"/>
              </w:rPr>
              <w:t>多模态空-地协同感知技</w:t>
            </w:r>
            <w:r>
              <w:rPr>
                <w:rFonts w:hint="default" w:ascii="Times New Roman" w:hAnsi="Times New Roman" w:cs="Times New Roman"/>
                <w:b w:val="0"/>
                <w:bCs w:val="0"/>
                <w:color w:val="auto"/>
                <w:sz w:val="24"/>
              </w:rPr>
              <w:t>术：</w:t>
            </w:r>
            <w:r>
              <w:rPr>
                <w:rFonts w:hint="default" w:ascii="Times New Roman" w:hAnsi="Times New Roman" w:cs="Times New Roman"/>
                <w:color w:val="auto"/>
                <w:sz w:val="24"/>
              </w:rPr>
              <w:t>研发雷达、视觉与基础传感器的融合方案。高空感知端，需集成向上探测的雷达与广角相机，用于识别高空障碍物；地面感知端，需在底车四周部署雷达与环视摄像头，用于探测路面障碍与行人，并结合支腿压力传感器、双轴倾角传感器等，实时监测设备自身姿态与支撑稳定性。</w:t>
            </w:r>
          </w:p>
          <w:p w14:paraId="5EBEDACF">
            <w:pPr>
              <w:snapToGrid w:val="0"/>
              <w:rPr>
                <w:rFonts w:hint="default" w:ascii="Times New Roman" w:hAnsi="Times New Roman" w:cs="Times New Roman"/>
                <w:color w:val="auto"/>
                <w:sz w:val="24"/>
              </w:rPr>
            </w:pPr>
            <w:r>
              <w:rPr>
                <w:rFonts w:hint="default" w:ascii="Times New Roman" w:hAnsi="Times New Roman" w:cs="Times New Roman"/>
                <w:b/>
                <w:bCs/>
                <w:color w:val="auto"/>
                <w:sz w:val="24"/>
              </w:rPr>
              <w:t>分级预警与协同控制策略：</w:t>
            </w:r>
            <w:r>
              <w:rPr>
                <w:rFonts w:hint="default" w:ascii="Times New Roman" w:hAnsi="Times New Roman" w:cs="Times New Roman"/>
                <w:color w:val="auto"/>
                <w:sz w:val="24"/>
              </w:rPr>
              <w:t>研究基于距离和风险等级的“预警-减速-禁止”分级控制策略。无论是高空雷达还是底车雷达，都应设置一级（预警减速区）和二级（紧急禁止区）防护区域。当系统识别到地面行驶路径上有障碍物或高空作业空间受侵时，能通过声光报警、显示器可视化提示，并最终干预液压系统，自动切换至低速或停止模式。</w:t>
            </w:r>
          </w:p>
          <w:p w14:paraId="0568EE45">
            <w:pPr>
              <w:snapToGrid w:val="0"/>
              <w:rPr>
                <w:rFonts w:hint="default" w:ascii="Times New Roman" w:hAnsi="Times New Roman" w:eastAsia="方正仿宋_GBK" w:cs="Times New Roman"/>
                <w:color w:val="auto"/>
                <w:sz w:val="24"/>
              </w:rPr>
            </w:pPr>
            <w:r>
              <w:rPr>
                <w:rFonts w:hint="default" w:ascii="Times New Roman" w:hAnsi="Times New Roman" w:cs="Times New Roman"/>
                <w:b/>
                <w:bCs/>
                <w:color w:val="auto"/>
                <w:sz w:val="24"/>
              </w:rPr>
              <w:t>三维动态地图融合与孪生建模：</w:t>
            </w:r>
            <w:r>
              <w:rPr>
                <w:rFonts w:hint="default" w:ascii="Times New Roman" w:hAnsi="Times New Roman" w:cs="Times New Roman"/>
                <w:color w:val="auto"/>
                <w:sz w:val="24"/>
              </w:rPr>
              <w:t>将高空激光雷达或视觉生成的点云数据，与地面感知系统构建的二维/三维环境模型进行时空同步与融合。在此基础上，集成设备自身的臂架角度、长度、平台载荷等传感器数据，构建一个包含设备自身状态与作业环境的“数字孪生体”，为规划提供高保真虚拟环境。</w:t>
            </w:r>
          </w:p>
        </w:tc>
      </w:tr>
      <w:tr w14:paraId="14FF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630" w:type="dxa"/>
            <w:vMerge w:val="continue"/>
            <w:tcBorders>
              <w:bottom w:val="single" w:color="auto" w:sz="4" w:space="0"/>
            </w:tcBorders>
            <w:vAlign w:val="center"/>
          </w:tcPr>
          <w:p w14:paraId="068C5CE0">
            <w:pPr>
              <w:snapToGrid w:val="0"/>
              <w:rPr>
                <w:rFonts w:hint="default" w:ascii="Times New Roman" w:hAnsi="Times New Roman" w:eastAsia="仿宋_GB2312" w:cs="Times New Roman"/>
                <w:color w:val="auto"/>
                <w:kern w:val="0"/>
                <w:sz w:val="24"/>
              </w:rPr>
            </w:pPr>
          </w:p>
        </w:tc>
        <w:tc>
          <w:tcPr>
            <w:tcW w:w="1350" w:type="dxa"/>
            <w:tcBorders>
              <w:left w:val="nil"/>
              <w:bottom w:val="single" w:color="auto" w:sz="4" w:space="0"/>
            </w:tcBorders>
            <w:vAlign w:val="center"/>
          </w:tcPr>
          <w:p w14:paraId="0F597EBB">
            <w:pPr>
              <w:jc w:val="center"/>
              <w:rPr>
                <w:rFonts w:hint="default" w:ascii="Times New Roman" w:hAnsi="Times New Roman" w:eastAsia="黑体" w:cs="Times New Roman"/>
                <w:color w:val="auto"/>
                <w:kern w:val="0"/>
                <w:sz w:val="28"/>
                <w:szCs w:val="28"/>
              </w:rPr>
            </w:pPr>
            <w:r>
              <w:rPr>
                <w:rFonts w:hint="default" w:ascii="Times New Roman" w:hAnsi="Times New Roman" w:eastAsia="黑体" w:cs="Times New Roman"/>
                <w:color w:val="auto"/>
                <w:kern w:val="0"/>
                <w:sz w:val="28"/>
                <w:szCs w:val="28"/>
              </w:rPr>
              <w:t>关键</w:t>
            </w:r>
          </w:p>
          <w:p w14:paraId="2A45EFFE">
            <w:pPr>
              <w:jc w:val="center"/>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8"/>
                <w:szCs w:val="28"/>
              </w:rPr>
              <w:t>技术指标</w:t>
            </w:r>
          </w:p>
        </w:tc>
        <w:tc>
          <w:tcPr>
            <w:tcW w:w="7029" w:type="dxa"/>
            <w:gridSpan w:val="5"/>
            <w:tcBorders>
              <w:left w:val="nil"/>
              <w:bottom w:val="single" w:color="auto" w:sz="4" w:space="0"/>
            </w:tcBorders>
          </w:tcPr>
          <w:p w14:paraId="10DDDA5B">
            <w:pPr>
              <w:snapToGrid w:val="0"/>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（指标参数情况，不少于3条，限200字以内）</w:t>
            </w:r>
          </w:p>
          <w:p w14:paraId="0345D3F6">
            <w:pPr>
              <w:snapToGrid w:val="0"/>
              <w:rPr>
                <w:rFonts w:hint="default" w:ascii="Times New Roman" w:hAnsi="Times New Roman" w:cs="Times New Roman"/>
                <w:color w:val="auto"/>
                <w:sz w:val="24"/>
              </w:rPr>
            </w:pPr>
            <w:r>
              <w:rPr>
                <w:rFonts w:hint="default" w:ascii="Times New Roman" w:hAnsi="Times New Roman" w:cs="Times New Roman"/>
                <w:b/>
                <w:bCs/>
                <w:color w:val="auto"/>
                <w:sz w:val="24"/>
              </w:rPr>
              <w:t>环境感知精度：</w:t>
            </w:r>
            <w:r>
              <w:rPr>
                <w:rFonts w:hint="default" w:ascii="Times New Roman" w:hAnsi="Times New Roman" w:cs="Times New Roman"/>
                <w:color w:val="auto"/>
                <w:sz w:val="24"/>
              </w:rPr>
              <w:t xml:space="preserve"> 系统能在平台最大工作高度（如</w:t>
            </w:r>
            <w:r>
              <w:rPr>
                <w:rFonts w:hint="eastAsia" w:ascii="Times New Roman" w:hAnsi="Times New Roman" w:cs="Times New Roman"/>
                <w:color w:val="auto"/>
                <w:sz w:val="24"/>
                <w:lang w:val="en-US" w:eastAsia="zh-CN"/>
              </w:rPr>
              <w:t>50</w:t>
            </w:r>
            <w:r>
              <w:rPr>
                <w:rFonts w:hint="default" w:ascii="Times New Roman" w:hAnsi="Times New Roman" w:cs="Times New Roman"/>
                <w:color w:val="auto"/>
                <w:sz w:val="24"/>
              </w:rPr>
              <w:t>米）下，对半径20米范围内静态障碍物的探测精度优于±5厘米，对动态障碍物（速度≤10km/h）的相对速度测量误差小于±0.5km/h。底车融合感知系统能在光照条件不佳（≤10 Lux）环境下，对车体周边360°、半径0.4-5米范围内的静态障碍物探测精度优于±3厘米，对移动速度≤5km/h的行人、车辆等动态目标识别率不低于95%</w:t>
            </w:r>
          </w:p>
          <w:p w14:paraId="0A4BD590">
            <w:pPr>
              <w:snapToGrid w:val="0"/>
              <w:rPr>
                <w:rFonts w:hint="default" w:ascii="Times New Roman" w:hAnsi="Times New Roman" w:cs="Times New Roman"/>
                <w:color w:val="auto"/>
                <w:sz w:val="24"/>
              </w:rPr>
            </w:pPr>
            <w:r>
              <w:rPr>
                <w:rFonts w:hint="default" w:ascii="Times New Roman" w:hAnsi="Times New Roman" w:cs="Times New Roman"/>
                <w:b/>
                <w:bCs/>
                <w:color w:val="auto"/>
                <w:sz w:val="24"/>
              </w:rPr>
              <w:t>实时建模与显示：</w:t>
            </w:r>
            <w:r>
              <w:rPr>
                <w:rFonts w:hint="default" w:ascii="Times New Roman" w:hAnsi="Times New Roman" w:cs="Times New Roman"/>
                <w:color w:val="auto"/>
                <w:sz w:val="24"/>
              </w:rPr>
              <w:t xml:space="preserve"> 多传感器数据融合与三维环境虚拟建模刷新率不低于30Hz，为操作员提供的全景可视化界面延迟低于100毫秒。</w:t>
            </w:r>
          </w:p>
          <w:p w14:paraId="6F3E0650">
            <w:pPr>
              <w:snapToGrid w:val="0"/>
              <w:rPr>
                <w:rFonts w:hint="default" w:ascii="Times New Roman" w:hAnsi="Times New Roman" w:cs="Times New Roman"/>
                <w:color w:val="auto"/>
                <w:sz w:val="24"/>
              </w:rPr>
            </w:pPr>
            <w:r>
              <w:rPr>
                <w:rFonts w:hint="default" w:ascii="Times New Roman" w:hAnsi="Times New Roman" w:cs="Times New Roman"/>
                <w:b/>
                <w:bCs/>
                <w:color w:val="auto"/>
                <w:sz w:val="24"/>
              </w:rPr>
              <w:t>主动避障成功率：</w:t>
            </w:r>
            <w:r>
              <w:rPr>
                <w:rFonts w:hint="default" w:ascii="Times New Roman" w:hAnsi="Times New Roman" w:cs="Times New Roman"/>
                <w:color w:val="auto"/>
                <w:sz w:val="24"/>
              </w:rPr>
              <w:t xml:space="preserve"> 在典型复杂障碍场景（如同时存在高压线、建筑凸角）下，系统自动规划的无碰撞路径成功率达到99%以上，规划耗时小于2秒。</w:t>
            </w:r>
          </w:p>
          <w:p w14:paraId="61C6E604">
            <w:pPr>
              <w:snapToGrid w:val="0"/>
              <w:rPr>
                <w:rFonts w:hint="default" w:ascii="Times New Roman" w:hAnsi="Times New Roman" w:eastAsia="仿宋_GB2312" w:cs="Times New Roman"/>
                <w:color w:val="auto"/>
                <w:kern w:val="0"/>
                <w:sz w:val="24"/>
              </w:rPr>
            </w:pPr>
            <w:r>
              <w:rPr>
                <w:rFonts w:hint="default" w:ascii="Times New Roman" w:hAnsi="Times New Roman" w:cs="Times New Roman"/>
                <w:b/>
                <w:bCs/>
                <w:color w:val="auto"/>
                <w:sz w:val="24"/>
              </w:rPr>
              <w:t xml:space="preserve">轨迹规划性能： </w:t>
            </w:r>
            <w:r>
              <w:rPr>
                <w:rFonts w:hint="default" w:ascii="Times New Roman" w:hAnsi="Times New Roman" w:cs="Times New Roman"/>
                <w:color w:val="auto"/>
                <w:sz w:val="24"/>
              </w:rPr>
              <w:t>在满足避障安全距离（最小1米）的前提下，相比人工经验操作，规划出的时间最优轨迹可使平台从初始位姿运动到末端作业位姿的总时间平均缩短15%以上。</w:t>
            </w:r>
          </w:p>
        </w:tc>
      </w:tr>
      <w:tr w14:paraId="3597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1980" w:type="dxa"/>
            <w:gridSpan w:val="2"/>
            <w:tcBorders>
              <w:bottom w:val="single" w:color="auto" w:sz="4" w:space="0"/>
            </w:tcBorders>
            <w:vAlign w:val="center"/>
          </w:tcPr>
          <w:p w14:paraId="64A01FD4">
            <w:pPr>
              <w:spacing w:line="360" w:lineRule="exact"/>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技术需求类别</w:t>
            </w:r>
          </w:p>
        </w:tc>
        <w:tc>
          <w:tcPr>
            <w:tcW w:w="7029" w:type="dxa"/>
            <w:gridSpan w:val="5"/>
            <w:tcBorders>
              <w:left w:val="nil"/>
              <w:bottom w:val="single" w:color="auto" w:sz="4" w:space="0"/>
            </w:tcBorders>
            <w:vAlign w:val="center"/>
          </w:tcPr>
          <w:p w14:paraId="5D4928B9">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sym w:font="Wingdings 2" w:char="0052"/>
            </w:r>
            <w:r>
              <w:rPr>
                <w:rFonts w:hint="default" w:ascii="Times New Roman" w:hAnsi="Times New Roman" w:eastAsia="方正仿宋_GBK" w:cs="Times New Roman"/>
                <w:color w:val="auto"/>
                <w:sz w:val="24"/>
              </w:rPr>
              <w:t>新产品研发 □产品升级换代 □生产线技术改造</w:t>
            </w:r>
          </w:p>
          <w:p w14:paraId="39496B90">
            <w:pPr>
              <w:spacing w:line="360" w:lineRule="exact"/>
              <w:rPr>
                <w:rFonts w:hint="default" w:ascii="Times New Roman" w:hAnsi="Times New Roman" w:eastAsia="方正仿宋_GBK" w:cs="Times New Roman"/>
                <w:b/>
                <w:bCs/>
                <w:color w:val="auto"/>
                <w:sz w:val="24"/>
              </w:rPr>
            </w:pPr>
            <w:r>
              <w:rPr>
                <w:rFonts w:hint="default" w:ascii="Times New Roman" w:hAnsi="Times New Roman" w:eastAsia="方正仿宋_GBK" w:cs="Times New Roman"/>
                <w:color w:val="auto"/>
                <w:sz w:val="24"/>
              </w:rPr>
              <w:t>□制造工艺改进 □制造装备改进 □其他</w:t>
            </w:r>
          </w:p>
        </w:tc>
      </w:tr>
      <w:tr w14:paraId="5EAE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1980" w:type="dxa"/>
            <w:gridSpan w:val="2"/>
            <w:tcBorders>
              <w:bottom w:val="single" w:color="auto" w:sz="4" w:space="0"/>
            </w:tcBorders>
            <w:vAlign w:val="center"/>
          </w:tcPr>
          <w:p w14:paraId="54D95291">
            <w:pPr>
              <w:spacing w:line="360" w:lineRule="exact"/>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意向合作方式</w:t>
            </w:r>
          </w:p>
        </w:tc>
        <w:tc>
          <w:tcPr>
            <w:tcW w:w="7029" w:type="dxa"/>
            <w:gridSpan w:val="5"/>
            <w:tcBorders>
              <w:left w:val="nil"/>
              <w:bottom w:val="single" w:color="auto" w:sz="4" w:space="0"/>
            </w:tcBorders>
            <w:vAlign w:val="center"/>
          </w:tcPr>
          <w:p w14:paraId="511C5722">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 xml:space="preserve">□技术转让 </w:t>
            </w:r>
            <w:r>
              <w:rPr>
                <w:rFonts w:hint="default" w:ascii="Times New Roman" w:hAnsi="Times New Roman" w:eastAsia="方正仿宋_GBK" w:cs="Times New Roman"/>
                <w:color w:val="auto"/>
                <w:sz w:val="24"/>
              </w:rPr>
              <w:sym w:font="Wingdings 2" w:char="0052"/>
            </w:r>
            <w:r>
              <w:rPr>
                <w:rFonts w:hint="default" w:ascii="Times New Roman" w:hAnsi="Times New Roman" w:eastAsia="方正仿宋_GBK" w:cs="Times New Roman"/>
                <w:color w:val="auto"/>
                <w:sz w:val="24"/>
              </w:rPr>
              <w:t xml:space="preserve">技术开发 □技术咨询 □技术服务 </w:t>
            </w:r>
          </w:p>
          <w:p w14:paraId="2766B9CC">
            <w:pPr>
              <w:spacing w:line="360" w:lineRule="exact"/>
              <w:rPr>
                <w:rFonts w:hint="default" w:ascii="Times New Roman" w:hAnsi="Times New Roman" w:eastAsia="方正仿宋_GBK" w:cs="Times New Roman"/>
                <w:color w:val="auto"/>
                <w:sz w:val="24"/>
              </w:rPr>
            </w:pPr>
            <w:r>
              <w:rPr>
                <w:rFonts w:hint="default" w:ascii="Times New Roman" w:hAnsi="Times New Roman" w:eastAsia="方正仿宋_GBK" w:cs="Times New Roman"/>
                <w:color w:val="auto"/>
                <w:sz w:val="24"/>
              </w:rPr>
              <w:t>□技术入股 □人才培养 □共建载体 □其他</w:t>
            </w:r>
          </w:p>
        </w:tc>
      </w:tr>
      <w:tr w14:paraId="30F9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980" w:type="dxa"/>
            <w:gridSpan w:val="2"/>
            <w:tcBorders>
              <w:bottom w:val="single" w:color="auto" w:sz="4" w:space="0"/>
            </w:tcBorders>
            <w:vAlign w:val="center"/>
          </w:tcPr>
          <w:p w14:paraId="451B96C4">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需求所处阶段</w:t>
            </w:r>
          </w:p>
        </w:tc>
        <w:tc>
          <w:tcPr>
            <w:tcW w:w="3169" w:type="dxa"/>
            <w:tcBorders>
              <w:left w:val="nil"/>
              <w:bottom w:val="single" w:color="auto" w:sz="4" w:space="0"/>
            </w:tcBorders>
            <w:vAlign w:val="center"/>
          </w:tcPr>
          <w:p w14:paraId="187BA8F0">
            <w:pPr>
              <w:snapToGrid w:val="0"/>
              <w:rPr>
                <w:rFonts w:hint="default" w:ascii="Times New Roman" w:hAnsi="Times New Roman" w:eastAsia="仿宋_GB2312" w:cs="Times New Roman"/>
                <w:b/>
                <w:bCs/>
                <w:color w:val="auto"/>
                <w:sz w:val="24"/>
              </w:rPr>
            </w:pPr>
            <w:r>
              <w:rPr>
                <w:rFonts w:hint="default" w:ascii="Times New Roman" w:hAnsi="Times New Roman" w:eastAsia="方正仿宋_GBK" w:cs="Times New Roman"/>
                <w:color w:val="auto"/>
                <w:sz w:val="24"/>
              </w:rPr>
              <w:sym w:font="Wingdings 2" w:char="0052"/>
            </w:r>
            <w:r>
              <w:rPr>
                <w:rFonts w:hint="default" w:ascii="Times New Roman" w:hAnsi="Times New Roman" w:eastAsia="方正仿宋_GBK" w:cs="Times New Roman"/>
                <w:color w:val="auto"/>
                <w:sz w:val="24"/>
              </w:rPr>
              <w:t>研制 □试生产 □小批量生产 □批量生产 □其他</w:t>
            </w:r>
          </w:p>
        </w:tc>
        <w:tc>
          <w:tcPr>
            <w:tcW w:w="2162" w:type="dxa"/>
            <w:gridSpan w:val="3"/>
            <w:tcBorders>
              <w:left w:val="nil"/>
              <w:bottom w:val="single" w:color="auto" w:sz="4" w:space="0"/>
            </w:tcBorders>
            <w:vAlign w:val="center"/>
          </w:tcPr>
          <w:p w14:paraId="7B898A15">
            <w:pPr>
              <w:snapToGrid w:val="0"/>
              <w:jc w:val="center"/>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t>意向合作院校</w:t>
            </w:r>
          </w:p>
        </w:tc>
        <w:tc>
          <w:tcPr>
            <w:tcW w:w="1698" w:type="dxa"/>
            <w:tcBorders>
              <w:left w:val="nil"/>
              <w:bottom w:val="single" w:color="auto" w:sz="4" w:space="0"/>
            </w:tcBorders>
          </w:tcPr>
          <w:p w14:paraId="2405DFE3">
            <w:pPr>
              <w:snapToGrid w:val="0"/>
              <w:rPr>
                <w:rFonts w:hint="default" w:ascii="Times New Roman" w:hAnsi="Times New Roman" w:eastAsia="仿宋_GB2312" w:cs="Times New Roman"/>
                <w:color w:val="auto"/>
                <w:sz w:val="24"/>
              </w:rPr>
            </w:pPr>
          </w:p>
        </w:tc>
      </w:tr>
    </w:tbl>
    <w:p w14:paraId="72BF0FA7">
      <w:pPr>
        <w:widowControl/>
        <w:jc w:val="left"/>
        <w:rPr>
          <w:rFonts w:hint="default" w:ascii="Times New Roman" w:hAnsi="Times New Roman" w:eastAsia="方正仿宋_GBK" w:cs="Times New Roman"/>
          <w:color w:val="auto"/>
          <w:kern w:val="0"/>
          <w:sz w:val="32"/>
          <w:szCs w:val="32"/>
        </w:rPr>
      </w:pPr>
      <w:bookmarkStart w:id="0" w:name="_GoBack"/>
      <w:bookmarkEnd w:id="0"/>
    </w:p>
    <w:sectPr>
      <w:footerReference r:id="rId3" w:type="default"/>
      <w:pgSz w:w="11906" w:h="16838"/>
      <w:pgMar w:top="1440" w:right="1519" w:bottom="1440" w:left="151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BEDDF">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DD5051">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3DD5051">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- 1 -</w:t>
                    </w:r>
                    <w:r>
                      <w:rPr>
                        <w:rFonts w:ascii="Times New Roman" w:hAnsi="Times New Roman" w:cs="Times New Roman"/>
                        <w:sz w:val="30"/>
                        <w:szCs w:val="3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xYmRjNTY0OTU0OWJhMjU2YmI5ZGZmMzQ0YjczMjAifQ=="/>
  </w:docVars>
  <w:rsids>
    <w:rsidRoot w:val="18BA14AA"/>
    <w:rsid w:val="0036169B"/>
    <w:rsid w:val="00446642"/>
    <w:rsid w:val="004932E0"/>
    <w:rsid w:val="00561116"/>
    <w:rsid w:val="006B5E42"/>
    <w:rsid w:val="00983B4B"/>
    <w:rsid w:val="00BA41ED"/>
    <w:rsid w:val="00CD0158"/>
    <w:rsid w:val="00D807E7"/>
    <w:rsid w:val="00FB4052"/>
    <w:rsid w:val="0147778C"/>
    <w:rsid w:val="02F55B6C"/>
    <w:rsid w:val="049727D9"/>
    <w:rsid w:val="053F077B"/>
    <w:rsid w:val="05856AD5"/>
    <w:rsid w:val="06113EC5"/>
    <w:rsid w:val="06C65766"/>
    <w:rsid w:val="077978E7"/>
    <w:rsid w:val="08206641"/>
    <w:rsid w:val="092A7769"/>
    <w:rsid w:val="09F7464E"/>
    <w:rsid w:val="0BDE1032"/>
    <w:rsid w:val="0E796AAB"/>
    <w:rsid w:val="0F582B65"/>
    <w:rsid w:val="0F655282"/>
    <w:rsid w:val="0FBE58FC"/>
    <w:rsid w:val="10790FE5"/>
    <w:rsid w:val="124D097B"/>
    <w:rsid w:val="1254369E"/>
    <w:rsid w:val="13CE5AEB"/>
    <w:rsid w:val="153B2D0D"/>
    <w:rsid w:val="166B01A6"/>
    <w:rsid w:val="16E16DA2"/>
    <w:rsid w:val="1764706C"/>
    <w:rsid w:val="17806F99"/>
    <w:rsid w:val="17AC04B0"/>
    <w:rsid w:val="1820482C"/>
    <w:rsid w:val="18BA14AA"/>
    <w:rsid w:val="1A750A6F"/>
    <w:rsid w:val="1B291859"/>
    <w:rsid w:val="1B8371BB"/>
    <w:rsid w:val="1BC670A8"/>
    <w:rsid w:val="1C4050AC"/>
    <w:rsid w:val="1E0A5972"/>
    <w:rsid w:val="1EB77F78"/>
    <w:rsid w:val="1F5350F7"/>
    <w:rsid w:val="20174376"/>
    <w:rsid w:val="20B47E17"/>
    <w:rsid w:val="23566F63"/>
    <w:rsid w:val="23BA5744"/>
    <w:rsid w:val="23DA1943"/>
    <w:rsid w:val="241906BD"/>
    <w:rsid w:val="26CC5EBA"/>
    <w:rsid w:val="26EC030B"/>
    <w:rsid w:val="288602EB"/>
    <w:rsid w:val="2AF9465D"/>
    <w:rsid w:val="2B0C0F7B"/>
    <w:rsid w:val="2BA93F88"/>
    <w:rsid w:val="2CC94C4A"/>
    <w:rsid w:val="2D3327DB"/>
    <w:rsid w:val="2E1F2D74"/>
    <w:rsid w:val="2FE83639"/>
    <w:rsid w:val="30517430"/>
    <w:rsid w:val="31280191"/>
    <w:rsid w:val="32BF4263"/>
    <w:rsid w:val="33B603F6"/>
    <w:rsid w:val="35133AD1"/>
    <w:rsid w:val="35906305"/>
    <w:rsid w:val="360B4EDC"/>
    <w:rsid w:val="362353CB"/>
    <w:rsid w:val="36F31241"/>
    <w:rsid w:val="37EB1F18"/>
    <w:rsid w:val="38106B4F"/>
    <w:rsid w:val="3AD44EE6"/>
    <w:rsid w:val="3BB70A8F"/>
    <w:rsid w:val="3CE138EA"/>
    <w:rsid w:val="3DD14F43"/>
    <w:rsid w:val="3E267C4F"/>
    <w:rsid w:val="3EF207DB"/>
    <w:rsid w:val="3F360145"/>
    <w:rsid w:val="3F4868B9"/>
    <w:rsid w:val="403F72A5"/>
    <w:rsid w:val="40784565"/>
    <w:rsid w:val="417D62D7"/>
    <w:rsid w:val="422E2D56"/>
    <w:rsid w:val="423D3DE3"/>
    <w:rsid w:val="43E05A11"/>
    <w:rsid w:val="455E1F7C"/>
    <w:rsid w:val="47E17D02"/>
    <w:rsid w:val="4AEF52C3"/>
    <w:rsid w:val="4AFF1B0B"/>
    <w:rsid w:val="4B2652EA"/>
    <w:rsid w:val="4DDE26C9"/>
    <w:rsid w:val="4F493C9D"/>
    <w:rsid w:val="4F950C90"/>
    <w:rsid w:val="5015592D"/>
    <w:rsid w:val="5253098E"/>
    <w:rsid w:val="53874D93"/>
    <w:rsid w:val="543078D7"/>
    <w:rsid w:val="547F60BF"/>
    <w:rsid w:val="55293119"/>
    <w:rsid w:val="558A2919"/>
    <w:rsid w:val="558F6181"/>
    <w:rsid w:val="55BF6453"/>
    <w:rsid w:val="58173D48"/>
    <w:rsid w:val="5A010E1A"/>
    <w:rsid w:val="5AFE3C8A"/>
    <w:rsid w:val="5B685CD7"/>
    <w:rsid w:val="5B773940"/>
    <w:rsid w:val="5C5C7996"/>
    <w:rsid w:val="5CDA4186"/>
    <w:rsid w:val="5D804D2D"/>
    <w:rsid w:val="5E1D5B3E"/>
    <w:rsid w:val="5E631F59"/>
    <w:rsid w:val="5F1013D9"/>
    <w:rsid w:val="61E82EA1"/>
    <w:rsid w:val="6232236E"/>
    <w:rsid w:val="62A25A89"/>
    <w:rsid w:val="639F57E1"/>
    <w:rsid w:val="644759E4"/>
    <w:rsid w:val="66C8504F"/>
    <w:rsid w:val="68150768"/>
    <w:rsid w:val="68294213"/>
    <w:rsid w:val="68D4417F"/>
    <w:rsid w:val="692344DB"/>
    <w:rsid w:val="6A040A94"/>
    <w:rsid w:val="6B3E66B1"/>
    <w:rsid w:val="6B753BA5"/>
    <w:rsid w:val="6C5F1FB2"/>
    <w:rsid w:val="6CE818D0"/>
    <w:rsid w:val="6EB8009F"/>
    <w:rsid w:val="6F3A0AB4"/>
    <w:rsid w:val="7036127C"/>
    <w:rsid w:val="71072C18"/>
    <w:rsid w:val="71CD0599"/>
    <w:rsid w:val="726C71D7"/>
    <w:rsid w:val="72D80276"/>
    <w:rsid w:val="73DE4104"/>
    <w:rsid w:val="73F27BAF"/>
    <w:rsid w:val="74C7103C"/>
    <w:rsid w:val="757E794D"/>
    <w:rsid w:val="766E26D2"/>
    <w:rsid w:val="76D90BB3"/>
    <w:rsid w:val="76DF7CA3"/>
    <w:rsid w:val="76E47C83"/>
    <w:rsid w:val="76EF03D6"/>
    <w:rsid w:val="76FF686B"/>
    <w:rsid w:val="77DC3489"/>
    <w:rsid w:val="78342545"/>
    <w:rsid w:val="787B4617"/>
    <w:rsid w:val="7908577F"/>
    <w:rsid w:val="791258F3"/>
    <w:rsid w:val="7B106FFF"/>
    <w:rsid w:val="7B6009A7"/>
    <w:rsid w:val="7CAA7279"/>
    <w:rsid w:val="7E835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font11"/>
    <w:basedOn w:val="6"/>
    <w:qFormat/>
    <w:uiPriority w:val="0"/>
    <w:rPr>
      <w:rFonts w:hint="eastAsia" w:ascii="方正仿宋_GBK" w:eastAsia="方正仿宋_GBK"/>
      <w:color w:val="000000"/>
      <w:sz w:val="32"/>
      <w:szCs w:val="32"/>
      <w:u w:val="none"/>
    </w:rPr>
  </w:style>
  <w:style w:type="character" w:customStyle="1" w:styleId="8">
    <w:name w:val="批注框文本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2013</Words>
  <Characters>2110</Characters>
  <Lines>31</Lines>
  <Paragraphs>8</Paragraphs>
  <TotalTime>1</TotalTime>
  <ScaleCrop>false</ScaleCrop>
  <LinksUpToDate>false</LinksUpToDate>
  <CharactersWithSpaces>2202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2023-02-06T02:15:00Z</dcterms:created>
  <dc:creator>Administrator</dc:creator>
  <cp:lastModifiedBy>WPS_1713142089</cp:lastModifiedBy>
  <cp:lastPrinted>2026-03-03T09:42:00Z</cp:lastPrinted>
  <dcterms:modified xsi:type="dcterms:W3CDTF">2026-04-15T06:37:02Z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10D32E92BD5C40B89C50D9B3A7CE3983_13</vt:lpwstr>
  </property>
  <property fmtid="{D5CDD505-2E9C-101B-9397-08002B2CF9AE}" pid="4" name="KSOTemplateDocerSaveRecord">
    <vt:lpwstr>eyJoZGlkIjoiZjBmYzdmNjkxYzhkZDU0ZDE5ZmExNTA5OWZhMzYzNGIiLCJ1c2VySWQiOiIxNTkzNzE5Mjg0In0=</vt:lpwstr>
  </property>
</Properties>
</file>