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530C3">
      <w:pPr>
        <w:jc w:val="lef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附件</w:t>
      </w:r>
    </w:p>
    <w:p w14:paraId="2CE04692">
      <w:pPr>
        <w:spacing w:line="560" w:lineRule="exact"/>
        <w:jc w:val="center"/>
        <w:rPr>
          <w:rFonts w:ascii="Times New Roman" w:hAnsi="Times New Roman" w:eastAsia="黑体" w:cs="Times New Roman"/>
          <w:color w:val="000000" w:themeColor="text1"/>
          <w:sz w:val="40"/>
          <w:szCs w:val="32"/>
          <w14:textFill>
            <w14:solidFill>
              <w14:schemeClr w14:val="tx1"/>
            </w14:solidFill>
          </w14:textFill>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（第二批）</w:t>
      </w:r>
      <w:bookmarkStart w:id="3" w:name="_GoBack"/>
      <w:bookmarkEnd w:id="3"/>
    </w:p>
    <w:tbl>
      <w:tblPr>
        <w:tblStyle w:val="5"/>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625"/>
        <w:gridCol w:w="1199"/>
        <w:gridCol w:w="2205"/>
      </w:tblGrid>
      <w:tr w14:paraId="25A2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vAlign w:val="center"/>
          </w:tcPr>
          <w:p w14:paraId="43B448AB">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企业名称</w:t>
            </w:r>
          </w:p>
        </w:tc>
        <w:tc>
          <w:tcPr>
            <w:tcW w:w="7029" w:type="dxa"/>
            <w:gridSpan w:val="3"/>
            <w:tcBorders>
              <w:left w:val="nil"/>
            </w:tcBorders>
            <w:vAlign w:val="center"/>
          </w:tcPr>
          <w:p w14:paraId="76549345">
            <w:pPr>
              <w:jc w:val="center"/>
              <w:rPr>
                <w:rFonts w:ascii="Times New Roman" w:hAnsi="Times New Roman" w:eastAsia="仿宋_GB2312" w:cs="Times New Roman"/>
                <w:color w:val="000000" w:themeColor="text1"/>
                <w:kern w:val="0"/>
                <w:sz w:val="24"/>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江苏空天测控科技有限公司</w:t>
            </w:r>
          </w:p>
        </w:tc>
      </w:tr>
      <w:tr w14:paraId="5868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vAlign w:val="center"/>
          </w:tcPr>
          <w:p w14:paraId="707B4299">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联系人</w:t>
            </w:r>
          </w:p>
        </w:tc>
        <w:tc>
          <w:tcPr>
            <w:tcW w:w="3625" w:type="dxa"/>
            <w:tcBorders>
              <w:left w:val="nil"/>
            </w:tcBorders>
            <w:vAlign w:val="center"/>
          </w:tcPr>
          <w:p w14:paraId="43B6ED67">
            <w:pPr>
              <w:jc w:val="center"/>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朱贤菲</w:t>
            </w:r>
          </w:p>
        </w:tc>
        <w:tc>
          <w:tcPr>
            <w:tcW w:w="1199" w:type="dxa"/>
            <w:vAlign w:val="center"/>
          </w:tcPr>
          <w:p w14:paraId="5BBE7224">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职务</w:t>
            </w:r>
          </w:p>
        </w:tc>
        <w:tc>
          <w:tcPr>
            <w:tcW w:w="2205" w:type="dxa"/>
            <w:tcBorders>
              <w:left w:val="nil"/>
            </w:tcBorders>
            <w:vAlign w:val="center"/>
          </w:tcPr>
          <w:p w14:paraId="342DB43B">
            <w:pPr>
              <w:jc w:val="center"/>
              <w:rPr>
                <w:rFonts w:ascii="Times New Roman" w:hAnsi="Times New Roman" w:eastAsia="仿宋_GB2312" w:cs="Times New Roman"/>
                <w:color w:val="000000" w:themeColor="text1"/>
                <w:kern w:val="0"/>
                <w:sz w:val="24"/>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业务经理</w:t>
            </w:r>
          </w:p>
        </w:tc>
      </w:tr>
      <w:tr w14:paraId="7CD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vAlign w:val="center"/>
          </w:tcPr>
          <w:p w14:paraId="2D4121E1">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电子邮箱</w:t>
            </w:r>
          </w:p>
        </w:tc>
        <w:tc>
          <w:tcPr>
            <w:tcW w:w="3625" w:type="dxa"/>
            <w:tcBorders>
              <w:left w:val="nil"/>
            </w:tcBorders>
            <w:vAlign w:val="center"/>
          </w:tcPr>
          <w:p w14:paraId="36BD6ECF">
            <w:pPr>
              <w:jc w:val="center"/>
              <w:rPr>
                <w:rFonts w:ascii="Times New Roman" w:hAnsi="Times New Roman" w:eastAsia="仿宋_GB2312" w:cs="Times New Roman"/>
                <w:color w:val="000000" w:themeColor="text1"/>
                <w:kern w:val="0"/>
                <w:sz w:val="24"/>
                <w14:textFill>
                  <w14:solidFill>
                    <w14:schemeClr w14:val="tx1"/>
                  </w14:solidFill>
                </w14:textFill>
              </w:rPr>
            </w:pPr>
            <w:r>
              <w:rPr>
                <w:rFonts w:ascii="Times New Roman" w:hAnsi="Times New Roman" w:eastAsia="仿宋_GB2312" w:cs="Times New Roman"/>
                <w:color w:val="000000" w:themeColor="text1"/>
                <w:kern w:val="0"/>
                <w:sz w:val="24"/>
                <w14:textFill>
                  <w14:solidFill>
                    <w14:schemeClr w14:val="tx1"/>
                  </w14:solidFill>
                </w14:textFill>
              </w:rPr>
              <w:t>18913438767@163.com</w:t>
            </w:r>
          </w:p>
        </w:tc>
        <w:tc>
          <w:tcPr>
            <w:tcW w:w="1199" w:type="dxa"/>
            <w:vAlign w:val="center"/>
          </w:tcPr>
          <w:p w14:paraId="1C50CC46">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电话</w:t>
            </w:r>
          </w:p>
        </w:tc>
        <w:tc>
          <w:tcPr>
            <w:tcW w:w="2205" w:type="dxa"/>
            <w:tcBorders>
              <w:left w:val="nil"/>
            </w:tcBorders>
            <w:vAlign w:val="center"/>
          </w:tcPr>
          <w:p w14:paraId="62B9616F">
            <w:pPr>
              <w:jc w:val="center"/>
              <w:rPr>
                <w:rFonts w:ascii="Times New Roman" w:hAnsi="Times New Roman" w:eastAsia="仿宋_GB2312" w:cs="Times New Roman"/>
                <w:color w:val="000000" w:themeColor="text1"/>
                <w:kern w:val="0"/>
                <w:sz w:val="24"/>
                <w14:textFill>
                  <w14:solidFill>
                    <w14:schemeClr w14:val="tx1"/>
                  </w14:solidFill>
                </w14:textFill>
              </w:rPr>
            </w:pPr>
            <w:r>
              <w:rPr>
                <w:rFonts w:ascii="Times New Roman" w:hAnsi="Times New Roman" w:eastAsia="仿宋_GB2312" w:cs="Times New Roman"/>
                <w:color w:val="000000" w:themeColor="text1"/>
                <w:kern w:val="0"/>
                <w:sz w:val="24"/>
                <w14:textFill>
                  <w14:solidFill>
                    <w14:schemeClr w14:val="tx1"/>
                  </w14:solidFill>
                </w14:textFill>
              </w:rPr>
              <w:t>18913438767</w:t>
            </w:r>
          </w:p>
        </w:tc>
      </w:tr>
      <w:tr w14:paraId="70CC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178E8D13">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产业集群</w:t>
            </w:r>
          </w:p>
        </w:tc>
        <w:tc>
          <w:tcPr>
            <w:tcW w:w="7029" w:type="dxa"/>
            <w:gridSpan w:val="3"/>
            <w:tcBorders>
              <w:left w:val="nil"/>
            </w:tcBorders>
            <w:vAlign w:val="center"/>
          </w:tcPr>
          <w:p w14:paraId="52C6D3C3">
            <w:pPr>
              <w:spacing w:line="360" w:lineRule="exact"/>
              <w:rPr>
                <w:rFonts w:ascii="Times New Roman" w:hAnsi="Times New Roman" w:eastAsia="方正仿宋_GBK" w:cs="Times New Roman"/>
                <w:color w:val="000000" w:themeColor="text1"/>
                <w:sz w:val="24"/>
                <w14:textFill>
                  <w14:solidFill>
                    <w14:schemeClr w14:val="tx1"/>
                  </w14:solidFill>
                </w14:textFill>
              </w:rPr>
            </w:pPr>
            <w:bookmarkStart w:id="0" w:name="OLE_LINK1"/>
            <w:r>
              <w:rPr>
                <w:rFonts w:hint="eastAsia" w:ascii="宋体" w:hAnsi="宋体" w:eastAsia="宋体" w:cs="Times New Roman"/>
                <w:color w:val="000000" w:themeColor="text1"/>
                <w:sz w:val="24"/>
                <w14:textFill>
                  <w14:solidFill>
                    <w14:schemeClr w14:val="tx1"/>
                  </w14:solidFill>
                </w14:textFill>
              </w:rPr>
              <w:t>■</w:t>
            </w:r>
            <w:bookmarkEnd w:id="0"/>
            <w:r>
              <w:rPr>
                <w:rFonts w:ascii="Times New Roman" w:hAnsi="Times New Roman" w:eastAsia="方正仿宋_GBK" w:cs="Times New Roman"/>
                <w:color w:val="000000" w:themeColor="text1"/>
                <w:sz w:val="24"/>
                <w14:textFill>
                  <w14:solidFill>
                    <w14:schemeClr w14:val="tx1"/>
                  </w14:solidFill>
                </w14:textFill>
              </w:rPr>
              <w:t>高端装备制造 □生命健康 □数字经济</w:t>
            </w:r>
          </w:p>
          <w:p w14:paraId="30B6D315">
            <w:pPr>
              <w:spacing w:line="360" w:lineRule="exact"/>
              <w:rPr>
                <w:rFonts w:ascii="Times New Roman" w:hAnsi="Times New Roman" w:eastAsia="方正仿宋_GBK" w:cs="Times New Roman"/>
                <w:color w:val="000000" w:themeColor="text1"/>
                <w:sz w:val="28"/>
                <w:szCs w:val="28"/>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□新材料 □其他</w:t>
            </w:r>
          </w:p>
        </w:tc>
      </w:tr>
      <w:tr w14:paraId="3506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Borders>
              <w:bottom w:val="single" w:color="auto" w:sz="4" w:space="0"/>
            </w:tcBorders>
            <w:vAlign w:val="center"/>
          </w:tcPr>
          <w:p w14:paraId="7272056C">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重点产业</w:t>
            </w:r>
          </w:p>
        </w:tc>
        <w:tc>
          <w:tcPr>
            <w:tcW w:w="7029" w:type="dxa"/>
            <w:gridSpan w:val="3"/>
            <w:tcBorders>
              <w:left w:val="nil"/>
              <w:bottom w:val="single" w:color="auto" w:sz="4" w:space="0"/>
            </w:tcBorders>
            <w:vAlign w:val="center"/>
          </w:tcPr>
          <w:p w14:paraId="1B4700BD">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hint="eastAsia" w:ascii="宋体" w:hAnsi="宋体" w:eastAsia="宋体" w:cs="Times New Roman"/>
                <w:color w:val="000000" w:themeColor="text1"/>
                <w:sz w:val="24"/>
                <w14:textFill>
                  <w14:solidFill>
                    <w14:schemeClr w14:val="tx1"/>
                  </w14:solidFill>
                </w14:textFill>
              </w:rPr>
              <w:t>■</w:t>
            </w:r>
            <w:r>
              <w:rPr>
                <w:rFonts w:ascii="Times New Roman" w:hAnsi="Times New Roman" w:eastAsia="方正仿宋_GBK" w:cs="Times New Roman"/>
                <w:color w:val="000000" w:themeColor="text1"/>
                <w:sz w:val="24"/>
                <w14:textFill>
                  <w14:solidFill>
                    <w14:schemeClr w14:val="tx1"/>
                  </w14:solidFill>
                </w14:textFill>
              </w:rPr>
              <w:t>航空航天（含低空经济）  □汽车及零部件（新能源汽车）</w:t>
            </w:r>
          </w:p>
          <w:p w14:paraId="0DF419EC">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 xml:space="preserve">□新型电力（新能源）装备（含新型储能与氢能） </w:t>
            </w:r>
          </w:p>
          <w:p w14:paraId="68931C3E">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□医疗器械和生物医药      □船舶海工装备</w:t>
            </w:r>
          </w:p>
          <w:p w14:paraId="6EAF687D">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 xml:space="preserve">□高性能材料              □智能农机装备     </w:t>
            </w:r>
          </w:p>
          <w:p w14:paraId="5A4867D0">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□新一代信息技术（含人工智能、具身智能和智能终端、脑机接口）</w:t>
            </w:r>
          </w:p>
          <w:p w14:paraId="26C37FB0">
            <w:pPr>
              <w:spacing w:line="360" w:lineRule="exact"/>
              <w:rPr>
                <w:rFonts w:ascii="Times New Roman" w:hAnsi="Times New Roman" w:eastAsia="方正仿宋_GBK" w:cs="Times New Roman"/>
                <w:color w:val="000000" w:themeColor="text1"/>
                <w:sz w:val="28"/>
                <w:szCs w:val="28"/>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□视觉光学                □其他</w:t>
            </w:r>
          </w:p>
        </w:tc>
      </w:tr>
      <w:tr w14:paraId="18A8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tcBorders>
              <w:bottom w:val="single" w:color="auto" w:sz="4" w:space="0"/>
            </w:tcBorders>
            <w:vAlign w:val="center"/>
          </w:tcPr>
          <w:p w14:paraId="4F393A71">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主营产品</w:t>
            </w:r>
          </w:p>
        </w:tc>
        <w:tc>
          <w:tcPr>
            <w:tcW w:w="7029" w:type="dxa"/>
            <w:gridSpan w:val="3"/>
            <w:tcBorders>
              <w:left w:val="nil"/>
              <w:bottom w:val="single" w:color="auto" w:sz="4" w:space="0"/>
            </w:tcBorders>
            <w:vAlign w:val="center"/>
          </w:tcPr>
          <w:p w14:paraId="6183CEF9">
            <w:pPr>
              <w:rPr>
                <w:rFonts w:ascii="Times New Roman" w:hAnsi="Times New Roman" w:eastAsia="仿宋_GB2312" w:cs="Times New Roman"/>
                <w:color w:val="000000" w:themeColor="text1"/>
                <w:kern w:val="0"/>
                <w:sz w:val="24"/>
                <w14:textFill>
                  <w14:solidFill>
                    <w14:schemeClr w14:val="tx1"/>
                  </w14:solidFill>
                </w14:textFill>
              </w:rPr>
            </w:pPr>
            <w:r>
              <w:rPr>
                <w:rFonts w:hint="eastAsia" w:ascii="Times New Roman" w:hAnsi="Times New Roman" w:eastAsia="仿宋_GB2312" w:cs="Times New Roman"/>
                <w:color w:val="000000" w:themeColor="text1"/>
                <w:kern w:val="0"/>
                <w:sz w:val="24"/>
                <w14:textFill>
                  <w14:solidFill>
                    <w14:schemeClr w14:val="tx1"/>
                  </w14:solidFill>
                </w14:textFill>
              </w:rPr>
              <w:t>航空航天环境下高精度液体流量传感器以及工业用仪器仪表开发、设计与制造。</w:t>
            </w:r>
          </w:p>
        </w:tc>
      </w:tr>
    </w:tbl>
    <w:p w14:paraId="0555F947">
      <w:pPr>
        <w:rPr>
          <w:color w:val="000000" w:themeColor="text1"/>
          <w14:textFill>
            <w14:solidFill>
              <w14:schemeClr w14:val="tx1"/>
            </w14:solidFill>
          </w14:textFill>
        </w:rPr>
      </w:pPr>
    </w:p>
    <w:tbl>
      <w:tblPr>
        <w:tblStyle w:val="5"/>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50"/>
        <w:gridCol w:w="3169"/>
        <w:gridCol w:w="2162"/>
        <w:gridCol w:w="1698"/>
      </w:tblGrid>
      <w:tr w14:paraId="6191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980" w:type="dxa"/>
            <w:gridSpan w:val="2"/>
            <w:vAlign w:val="center"/>
          </w:tcPr>
          <w:p w14:paraId="2CA17BF6">
            <w:pPr>
              <w:jc w:val="center"/>
              <w:rPr>
                <w:rFonts w:ascii="Times New Roman" w:hAnsi="Times New Roman" w:eastAsia="黑体" w:cs="Times New Roman"/>
                <w:b/>
                <w:bCs/>
                <w:color w:val="000000" w:themeColor="text1"/>
                <w:sz w:val="24"/>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技术需求名称</w:t>
            </w:r>
          </w:p>
        </w:tc>
        <w:tc>
          <w:tcPr>
            <w:tcW w:w="7029" w:type="dxa"/>
            <w:gridSpan w:val="3"/>
            <w:vAlign w:val="center"/>
          </w:tcPr>
          <w:p w14:paraId="4A1D4FF4">
            <w:pPr>
              <w:jc w:val="center"/>
              <w:rPr>
                <w:rFonts w:ascii="Times New Roman" w:hAnsi="Times New Roman" w:eastAsia="仿宋_GB2312" w:cs="Times New Roman"/>
                <w:color w:val="000000" w:themeColor="text1"/>
                <w:sz w:val="24"/>
                <w14:textFill>
                  <w14:solidFill>
                    <w14:schemeClr w14:val="tx1"/>
                  </w14:solidFill>
                </w14:textFill>
              </w:rPr>
            </w:pPr>
            <w:r>
              <w:rPr>
                <w:rFonts w:hint="eastAsia" w:ascii="Times New Roman" w:hAnsi="Times New Roman" w:eastAsia="仿宋_GB2312" w:cs="Times New Roman"/>
                <w:color w:val="000000" w:themeColor="text1"/>
                <w:sz w:val="28"/>
                <w:szCs w:val="28"/>
                <w14:textFill>
                  <w14:solidFill>
                    <w14:schemeClr w14:val="tx1"/>
                  </w14:solidFill>
                </w14:textFill>
              </w:rPr>
              <w:t>粘度对涡轮流量计测量精度影响及多粘度校准技术研究</w:t>
            </w:r>
          </w:p>
        </w:tc>
      </w:tr>
      <w:tr w14:paraId="0004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80" w:type="dxa"/>
            <w:gridSpan w:val="2"/>
            <w:tcBorders>
              <w:bottom w:val="single" w:color="auto" w:sz="4" w:space="0"/>
            </w:tcBorders>
            <w:vAlign w:val="center"/>
          </w:tcPr>
          <w:p w14:paraId="163913F7">
            <w:pPr>
              <w:snapToGrid w:val="0"/>
              <w:jc w:val="center"/>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项目总投入</w:t>
            </w:r>
          </w:p>
          <w:p w14:paraId="26BF966A">
            <w:pPr>
              <w:snapToGrid w:val="0"/>
              <w:jc w:val="center"/>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（万元）</w:t>
            </w:r>
          </w:p>
        </w:tc>
        <w:tc>
          <w:tcPr>
            <w:tcW w:w="7029" w:type="dxa"/>
            <w:gridSpan w:val="3"/>
            <w:tcBorders>
              <w:bottom w:val="single" w:color="auto" w:sz="4" w:space="0"/>
            </w:tcBorders>
            <w:vAlign w:val="center"/>
          </w:tcPr>
          <w:p w14:paraId="1EFA3661">
            <w:pPr>
              <w:snapToGrid w:val="0"/>
              <w:jc w:val="center"/>
              <w:rPr>
                <w:rFonts w:ascii="仿宋_GB2312" w:hAnsi="Times New Roman" w:eastAsia="仿宋_GB2312" w:cs="Times New Roman"/>
                <w:color w:val="000000" w:themeColor="text1"/>
                <w:sz w:val="24"/>
                <w14:textFill>
                  <w14:solidFill>
                    <w14:schemeClr w14:val="tx1"/>
                  </w14:solidFill>
                </w14:textFill>
              </w:rPr>
            </w:pPr>
            <w:r>
              <w:rPr>
                <w:rFonts w:hint="eastAsia" w:ascii="仿宋_GB2312" w:hAnsi="Times New Roman" w:eastAsia="仿宋_GB2312" w:cs="Times New Roman"/>
                <w:color w:val="000000" w:themeColor="text1"/>
                <w:sz w:val="28"/>
                <w:szCs w:val="28"/>
                <w14:textFill>
                  <w14:solidFill>
                    <w14:schemeClr w14:val="tx1"/>
                  </w14:solidFill>
                </w14:textFill>
              </w:rPr>
              <w:t>350</w:t>
            </w:r>
          </w:p>
        </w:tc>
      </w:tr>
      <w:tr w14:paraId="20CF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630" w:type="dxa"/>
            <w:vMerge w:val="restart"/>
            <w:vAlign w:val="center"/>
          </w:tcPr>
          <w:p w14:paraId="6551B29D">
            <w:pPr>
              <w:jc w:val="center"/>
              <w:rPr>
                <w:rFonts w:ascii="Times New Roman" w:hAnsi="Times New Roman" w:eastAsia="仿宋_GB2312" w:cs="Times New Roman"/>
                <w:color w:val="000000" w:themeColor="text1"/>
                <w:kern w:val="0"/>
                <w:sz w:val="24"/>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技术需求情况说明</w:t>
            </w:r>
          </w:p>
        </w:tc>
        <w:tc>
          <w:tcPr>
            <w:tcW w:w="1350" w:type="dxa"/>
            <w:tcBorders>
              <w:left w:val="nil"/>
              <w:bottom w:val="single" w:color="auto" w:sz="4" w:space="0"/>
            </w:tcBorders>
            <w:vAlign w:val="center"/>
          </w:tcPr>
          <w:p w14:paraId="0A3E2999">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应用场景</w:t>
            </w:r>
          </w:p>
        </w:tc>
        <w:tc>
          <w:tcPr>
            <w:tcW w:w="7029" w:type="dxa"/>
            <w:gridSpan w:val="3"/>
            <w:tcBorders>
              <w:left w:val="nil"/>
              <w:bottom w:val="single" w:color="auto" w:sz="4" w:space="0"/>
            </w:tcBorders>
          </w:tcPr>
          <w:p w14:paraId="0DCE9007">
            <w:pPr>
              <w:snapToGrid w:val="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（主要阐述通过项目的解决，可实现的场景应用）</w:t>
            </w:r>
          </w:p>
          <w:p w14:paraId="48780DEC">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流量计是航空航天发动机的“血液监测仪”，是确保发动机燃烧效率、推力稳定与任务安全的关键装置之一。在航空航天恶劣工况，以及介质温度和压力变化大的情况下，介质粘度对精度的影响会导致流量计特性曲线（K系数/雷诺数）发生“畸变”，从而产生巨大误差。</w:t>
            </w:r>
          </w:p>
          <w:p w14:paraId="5CF43CDC">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项目实施单位已自主研制的对转涡轮流量计，在我国航空航天领域经权威检测，是一款性能最优的量计。本项目的实施将基于航空发动机试验燃油流量测量模型，针对航空发动机试验过程中粘度变化对双涡轮流量计测量性能的影响规律，开展理论分析及校准试验研究，旨在为我国航空发动机燃油流量测量</w:t>
            </w:r>
            <w:r>
              <w:rPr>
                <w:rFonts w:hint="eastAsia" w:ascii="Times New Roman" w:hAnsi="Times New Roman" w:eastAsia="方正仿宋_GBK" w:cs="Times New Roman"/>
                <w:b/>
                <w:color w:val="000000" w:themeColor="text1"/>
                <w:sz w:val="24"/>
                <w14:textFill>
                  <w14:solidFill>
                    <w14:schemeClr w14:val="tx1"/>
                  </w14:solidFill>
                </w14:textFill>
              </w:rPr>
              <w:t>重构粘度修正曲线</w:t>
            </w:r>
            <w:r>
              <w:rPr>
                <w:rFonts w:hint="eastAsia" w:ascii="Times New Roman" w:hAnsi="Times New Roman" w:eastAsia="方正仿宋_GBK" w:cs="Times New Roman"/>
                <w:color w:val="000000" w:themeColor="text1"/>
                <w:sz w:val="24"/>
                <w14:textFill>
                  <w14:solidFill>
                    <w14:schemeClr w14:val="tx1"/>
                  </w14:solidFill>
                </w14:textFill>
              </w:rPr>
              <w:t>，</w:t>
            </w:r>
            <w:r>
              <w:rPr>
                <w:rFonts w:hint="eastAsia" w:ascii="Times New Roman" w:hAnsi="Times New Roman" w:eastAsia="方正仿宋_GBK" w:cs="Times New Roman"/>
                <w:b/>
                <w:color w:val="000000" w:themeColor="text1"/>
                <w:sz w:val="24"/>
                <w14:textFill>
                  <w14:solidFill>
                    <w14:schemeClr w14:val="tx1"/>
                  </w14:solidFill>
                </w14:textFill>
              </w:rPr>
              <w:t>构建基于介质工况的物性参数修正方法</w:t>
            </w:r>
            <w:r>
              <w:rPr>
                <w:rFonts w:hint="eastAsia" w:ascii="Times New Roman" w:hAnsi="Times New Roman" w:eastAsia="方正仿宋_GBK" w:cs="Times New Roman"/>
                <w:color w:val="000000" w:themeColor="text1"/>
                <w:sz w:val="24"/>
                <w14:textFill>
                  <w14:solidFill>
                    <w14:schemeClr w14:val="tx1"/>
                  </w14:solidFill>
                </w14:textFill>
              </w:rPr>
              <w:t>，为我国航空航天发动机燃油流量提供高精度测量，最终实现</w:t>
            </w:r>
            <w:r>
              <w:rPr>
                <w:rFonts w:hint="eastAsia" w:ascii="Times New Roman" w:hAnsi="Times New Roman" w:eastAsia="方正仿宋_GBK" w:cs="Times New Roman"/>
                <w:b/>
                <w:color w:val="000000" w:themeColor="text1"/>
                <w:sz w:val="24"/>
                <w14:textFill>
                  <w14:solidFill>
                    <w14:schemeClr w14:val="tx1"/>
                  </w14:solidFill>
                </w14:textFill>
              </w:rPr>
              <w:t>摆脱欧美对我国的技术封锁</w:t>
            </w:r>
            <w:r>
              <w:rPr>
                <w:rFonts w:hint="eastAsia" w:ascii="Times New Roman" w:hAnsi="Times New Roman" w:eastAsia="方正仿宋_GBK" w:cs="Times New Roman"/>
                <w:color w:val="000000" w:themeColor="text1"/>
                <w:sz w:val="24"/>
                <w14:textFill>
                  <w14:solidFill>
                    <w14:schemeClr w14:val="tx1"/>
                  </w14:solidFill>
                </w14:textFill>
              </w:rPr>
              <w:t>，提升国际话语权。</w:t>
            </w:r>
          </w:p>
        </w:tc>
      </w:tr>
      <w:tr w14:paraId="02EC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630" w:type="dxa"/>
            <w:vMerge w:val="continue"/>
            <w:vAlign w:val="center"/>
          </w:tcPr>
          <w:p w14:paraId="5A53D772">
            <w:pPr>
              <w:rPr>
                <w:rFonts w:ascii="Times New Roman" w:hAnsi="Times New Roman" w:eastAsia="仿宋_GB2312" w:cs="Times New Roman"/>
                <w:color w:val="000000" w:themeColor="text1"/>
                <w:kern w:val="0"/>
                <w:sz w:val="24"/>
                <w14:textFill>
                  <w14:solidFill>
                    <w14:schemeClr w14:val="tx1"/>
                  </w14:solidFill>
                </w14:textFill>
              </w:rPr>
            </w:pPr>
          </w:p>
        </w:tc>
        <w:tc>
          <w:tcPr>
            <w:tcW w:w="1350" w:type="dxa"/>
            <w:tcBorders>
              <w:left w:val="nil"/>
              <w:bottom w:val="single" w:color="auto" w:sz="4" w:space="0"/>
            </w:tcBorders>
            <w:vAlign w:val="center"/>
          </w:tcPr>
          <w:p w14:paraId="5D7D2440">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研究内容</w:t>
            </w:r>
          </w:p>
        </w:tc>
        <w:tc>
          <w:tcPr>
            <w:tcW w:w="7029" w:type="dxa"/>
            <w:gridSpan w:val="3"/>
            <w:tcBorders>
              <w:left w:val="nil"/>
              <w:bottom w:val="single" w:color="auto" w:sz="4" w:space="0"/>
            </w:tcBorders>
          </w:tcPr>
          <w:p w14:paraId="24E4A469">
            <w:pPr>
              <w:snapToGrid w:val="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（项目研究内容，主要描述实现研究目标的载体，或者是研究目标的具体化。）</w:t>
            </w:r>
          </w:p>
          <w:p w14:paraId="72841EF7">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1、开展介质粘度对涡轮流量计测量精度的影响研究</w:t>
            </w:r>
          </w:p>
          <w:p w14:paraId="51A4ED3B">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（1）基于涡轮流量计测量原理，开展介质粘度与涡轮流量计测量性能影响的理论分析。</w:t>
            </w:r>
          </w:p>
          <w:p w14:paraId="3F2DC1E2">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（2）搭建变粘度校准试验平台，完成校准溯源，进一步开展针对涡轮流量计的不同粘度校准试验，获得不同粘度下标准流量与涡轮流量计的输出频率的关系。</w:t>
            </w:r>
          </w:p>
          <w:p w14:paraId="5973BF96">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（3）基于变粘度校准试验数据及理论分析，进行粘度对涡轮流量计测量性能的影响规律分析，完成粘度与涡轮流量计输出信号的关系的通用粘度曲线拟合，定量分析评估粘度修正后涡轮流量计的流量测量精度。</w:t>
            </w:r>
          </w:p>
          <w:p w14:paraId="4889B815">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2、开展航空发动机试验用燃油物性修正方法研究</w:t>
            </w:r>
          </w:p>
          <w:p w14:paraId="6667C841">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（1）开展 RP-3 航空煤油等航空发动机用典型燃料的密度粘度物性研究，分析温度压力对密度、粘度的影响，并形成修正方法，评估修正后的物性测量误差。</w:t>
            </w:r>
          </w:p>
          <w:p w14:paraId="367A6285">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（2）基于物性修正方法，构建包含温度、压力影响的密度、运动粘度修正程序，通过获得实时工祝下燃料的温度与压力参数实现动态物性计算，为后续流量测量提供准确的燃料物性。</w:t>
            </w:r>
          </w:p>
          <w:p w14:paraId="10225A4B">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3、开展基于航空发动机试验介质工况的燃油流量精确测量修正方法研究</w:t>
            </w:r>
          </w:p>
          <w:p w14:paraId="10EE97C9">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1）针对双涡轮流量计因价质温度、压力变化引起的几何形变（如流道、壁厚等变化），形成介质温度、里大对几何形变量的修正关系；分析几何形变对涡轮流量计测量性能的影响，建应发动机试验介质温度、压力与流量计内部关键结构参数和燃油流量数据的修正程序，用于燃油流量测量的修正。</w:t>
            </w:r>
          </w:p>
          <w:p w14:paraId="0840E5CB">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2）基于介质温度、压力对燃油物性影响，粘度对燃油流量测量的影响及几何形变对燃油流量测量的影响，形成发动机试验燃油流量精确测量修正方法，并建立修正程序，实现发动机试验燃油流量的实时精确测量，完成基于测量不确定度评估的燃油流量测量精度评定，确保测量精度满足要求。</w:t>
            </w:r>
          </w:p>
          <w:p w14:paraId="70338117">
            <w:pPr>
              <w:snapToGrid w:val="0"/>
              <w:ind w:firstLine="560" w:firstLineChars="200"/>
              <w:rPr>
                <w:rFonts w:ascii="仿宋_GB2312" w:hAnsi="Times New Roman" w:eastAsia="仿宋_GB2312" w:cs="Times New Roman"/>
                <w:color w:val="000000" w:themeColor="text1"/>
                <w:sz w:val="28"/>
                <w:szCs w:val="28"/>
                <w14:textFill>
                  <w14:solidFill>
                    <w14:schemeClr w14:val="tx1"/>
                  </w14:solidFill>
                </w14:textFill>
              </w:rPr>
            </w:pPr>
          </w:p>
        </w:tc>
      </w:tr>
      <w:tr w14:paraId="03EA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630" w:type="dxa"/>
            <w:vMerge w:val="continue"/>
            <w:tcBorders>
              <w:bottom w:val="single" w:color="auto" w:sz="4" w:space="0"/>
            </w:tcBorders>
            <w:vAlign w:val="center"/>
          </w:tcPr>
          <w:p w14:paraId="3A84C303">
            <w:pPr>
              <w:snapToGrid w:val="0"/>
              <w:rPr>
                <w:rFonts w:ascii="Times New Roman" w:hAnsi="Times New Roman" w:eastAsia="仿宋_GB2312" w:cs="Times New Roman"/>
                <w:color w:val="000000" w:themeColor="text1"/>
                <w:kern w:val="0"/>
                <w:sz w:val="24"/>
                <w14:textFill>
                  <w14:solidFill>
                    <w14:schemeClr w14:val="tx1"/>
                  </w14:solidFill>
                </w14:textFill>
              </w:rPr>
            </w:pPr>
          </w:p>
        </w:tc>
        <w:tc>
          <w:tcPr>
            <w:tcW w:w="1350" w:type="dxa"/>
            <w:tcBorders>
              <w:left w:val="nil"/>
              <w:bottom w:val="single" w:color="auto" w:sz="4" w:space="0"/>
            </w:tcBorders>
            <w:vAlign w:val="center"/>
          </w:tcPr>
          <w:p w14:paraId="123A0DAE">
            <w:pPr>
              <w:jc w:val="center"/>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关键</w:t>
            </w:r>
          </w:p>
          <w:p w14:paraId="582B908B">
            <w:pPr>
              <w:jc w:val="center"/>
              <w:rPr>
                <w:rFonts w:ascii="Times New Roman" w:hAnsi="Times New Roman" w:eastAsia="黑体" w:cs="Times New Roman"/>
                <w:color w:val="000000" w:themeColor="text1"/>
                <w:kern w:val="0"/>
                <w:sz w:val="24"/>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技术指标</w:t>
            </w:r>
          </w:p>
        </w:tc>
        <w:tc>
          <w:tcPr>
            <w:tcW w:w="7029" w:type="dxa"/>
            <w:gridSpan w:val="3"/>
            <w:tcBorders>
              <w:left w:val="nil"/>
              <w:bottom w:val="single" w:color="auto" w:sz="4" w:space="0"/>
            </w:tcBorders>
          </w:tcPr>
          <w:p w14:paraId="1A551783">
            <w:pPr>
              <w:snapToGrid w:val="0"/>
              <w:rPr>
                <w:rFonts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（指标参数情况，不少于3条，限200字以内）</w:t>
            </w:r>
          </w:p>
          <w:p w14:paraId="6DF60BBB">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bookmarkStart w:id="1" w:name="_Toc457554033"/>
            <w:bookmarkEnd w:id="1"/>
            <w:bookmarkStart w:id="2" w:name="_Toc2841118"/>
            <w:bookmarkEnd w:id="2"/>
            <w:r>
              <w:rPr>
                <w:rFonts w:ascii="Times New Roman" w:hAnsi="Times New Roman" w:eastAsia="方正仿宋_GBK" w:cs="Times New Roman"/>
                <w:color w:val="000000" w:themeColor="text1"/>
                <w:sz w:val="24"/>
                <w14:textFill>
                  <w14:solidFill>
                    <w14:schemeClr w14:val="tx1"/>
                  </w14:solidFill>
                </w14:textFill>
              </w:rPr>
              <w:t>1、流量测量范围：50kg/h~10000kg/h</w:t>
            </w:r>
            <w:r>
              <w:rPr>
                <w:rFonts w:hint="eastAsia" w:ascii="Times New Roman" w:hAnsi="Times New Roman" w:eastAsia="方正仿宋_GBK" w:cs="Times New Roman"/>
                <w:color w:val="000000" w:themeColor="text1"/>
                <w:sz w:val="24"/>
                <w14:textFill>
                  <w14:solidFill>
                    <w14:schemeClr w14:val="tx1"/>
                  </w14:solidFill>
                </w14:textFill>
              </w:rPr>
              <w:t>；</w:t>
            </w:r>
          </w:p>
          <w:p w14:paraId="132D0810">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2、实现校准粘度涵盖(1~10)mm</w:t>
            </w:r>
            <w:r>
              <w:rPr>
                <w:rFonts w:ascii="Times New Roman" w:hAnsi="Times New Roman" w:eastAsia="方正仿宋_GBK" w:cs="Times New Roman"/>
                <w:color w:val="000000" w:themeColor="text1"/>
                <w:sz w:val="24"/>
                <w:vertAlign w:val="superscript"/>
                <w14:textFill>
                  <w14:solidFill>
                    <w14:schemeClr w14:val="tx1"/>
                  </w14:solidFill>
                </w14:textFill>
              </w:rPr>
              <w:t>2</w:t>
            </w:r>
            <w:r>
              <w:rPr>
                <w:rFonts w:ascii="Times New Roman" w:hAnsi="Times New Roman" w:eastAsia="方正仿宋_GBK" w:cs="Times New Roman"/>
                <w:color w:val="000000" w:themeColor="text1"/>
                <w:sz w:val="24"/>
                <w14:textFill>
                  <w14:solidFill>
                    <w14:schemeClr w14:val="tx1"/>
                  </w14:solidFill>
                </w14:textFill>
              </w:rPr>
              <w:t>/s范围内的至少5种粘度；</w:t>
            </w:r>
          </w:p>
          <w:p w14:paraId="419AFC7E">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3、工作介质：丙二醇与水混合溶液；</w:t>
            </w:r>
          </w:p>
          <w:p w14:paraId="71D54DD4">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4、试验台精度：优于0.2%</w:t>
            </w:r>
            <w:r>
              <w:rPr>
                <w:rFonts w:hint="eastAsia" w:ascii="Times New Roman" w:hAnsi="Times New Roman" w:eastAsia="方正仿宋_GBK" w:cs="Times New Roman"/>
                <w:color w:val="000000" w:themeColor="text1"/>
                <w:sz w:val="24"/>
                <w14:textFill>
                  <w14:solidFill>
                    <w14:schemeClr w14:val="tx1"/>
                  </w14:solidFill>
                </w14:textFill>
              </w:rPr>
              <w:t>；</w:t>
            </w:r>
          </w:p>
          <w:p w14:paraId="1F17B8FA">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5、油源最大压力：</w:t>
            </w:r>
            <w:r>
              <w:rPr>
                <w:rFonts w:hint="eastAsia" w:ascii="Times New Roman" w:hAnsi="Times New Roman" w:eastAsia="方正仿宋_GBK" w:cs="Times New Roman"/>
                <w:color w:val="000000" w:themeColor="text1"/>
                <w:sz w:val="24"/>
                <w14:textFill>
                  <w14:solidFill>
                    <w14:schemeClr w14:val="tx1"/>
                  </w14:solidFill>
                </w14:textFill>
              </w:rPr>
              <w:t>≥</w:t>
            </w:r>
            <w:r>
              <w:rPr>
                <w:rFonts w:ascii="Times New Roman" w:hAnsi="Times New Roman" w:eastAsia="方正仿宋_GBK" w:cs="Times New Roman"/>
                <w:color w:val="000000" w:themeColor="text1"/>
                <w:sz w:val="24"/>
                <w14:textFill>
                  <w14:solidFill>
                    <w14:schemeClr w14:val="tx1"/>
                  </w14:solidFill>
                </w14:textFill>
              </w:rPr>
              <w:t>0.6Mpa</w:t>
            </w:r>
            <w:r>
              <w:rPr>
                <w:rFonts w:hint="eastAsia" w:ascii="Times New Roman" w:hAnsi="Times New Roman" w:eastAsia="方正仿宋_GBK" w:cs="Times New Roman"/>
                <w:color w:val="000000" w:themeColor="text1"/>
                <w:sz w:val="24"/>
                <w14:textFill>
                  <w14:solidFill>
                    <w14:schemeClr w14:val="tx1"/>
                  </w14:solidFill>
                </w14:textFill>
              </w:rPr>
              <w:t>；</w:t>
            </w:r>
          </w:p>
          <w:p w14:paraId="406A681B">
            <w:pPr>
              <w:snapToGrid w:val="0"/>
              <w:ind w:firstLine="480" w:firstLineChars="200"/>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6、被校准流量计类型：</w:t>
            </w:r>
            <w:r>
              <w:rPr>
                <w:rFonts w:hint="eastAsia" w:ascii="Times New Roman" w:hAnsi="Times New Roman" w:eastAsia="方正仿宋_GBK" w:cs="Times New Roman"/>
                <w:color w:val="000000" w:themeColor="text1"/>
                <w:sz w:val="24"/>
                <w14:textFill>
                  <w14:solidFill>
                    <w14:schemeClr w14:val="tx1"/>
                  </w14:solidFill>
                </w14:textFill>
              </w:rPr>
              <w:t>不少于2种</w:t>
            </w:r>
            <w:r>
              <w:rPr>
                <w:rFonts w:ascii="Times New Roman" w:hAnsi="Times New Roman" w:eastAsia="方正仿宋_GBK" w:cs="Times New Roman"/>
                <w:color w:val="000000" w:themeColor="text1"/>
                <w:sz w:val="24"/>
                <w14:textFill>
                  <w14:solidFill>
                    <w14:schemeClr w14:val="tx1"/>
                  </w14:solidFill>
                </w14:textFill>
              </w:rPr>
              <w:t>流量计。</w:t>
            </w:r>
          </w:p>
          <w:p w14:paraId="32F88AA0">
            <w:pPr>
              <w:snapToGrid w:val="0"/>
              <w:ind w:firstLine="480" w:firstLineChars="200"/>
              <w:rPr>
                <w:rFonts w:hint="eastAsia" w:ascii="Times New Roman" w:hAnsi="Times New Roman" w:eastAsia="仿宋_GB2312" w:cs="Times New Roman"/>
                <w:color w:val="000000" w:themeColor="text1"/>
                <w:kern w:val="0"/>
                <w:sz w:val="24"/>
                <w14:textFill>
                  <w14:solidFill>
                    <w14:schemeClr w14:val="tx1"/>
                  </w14:solidFill>
                </w14:textFill>
              </w:rPr>
            </w:pPr>
          </w:p>
        </w:tc>
      </w:tr>
      <w:tr w14:paraId="313E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980" w:type="dxa"/>
            <w:gridSpan w:val="2"/>
            <w:tcBorders>
              <w:bottom w:val="single" w:color="auto" w:sz="4" w:space="0"/>
            </w:tcBorders>
            <w:vAlign w:val="center"/>
          </w:tcPr>
          <w:p w14:paraId="65500B68">
            <w:pPr>
              <w:spacing w:line="360" w:lineRule="exact"/>
              <w:jc w:val="center"/>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技术需求类别</w:t>
            </w:r>
          </w:p>
        </w:tc>
        <w:tc>
          <w:tcPr>
            <w:tcW w:w="7029" w:type="dxa"/>
            <w:gridSpan w:val="3"/>
            <w:tcBorders>
              <w:left w:val="nil"/>
              <w:bottom w:val="single" w:color="auto" w:sz="4" w:space="0"/>
            </w:tcBorders>
            <w:vAlign w:val="center"/>
          </w:tcPr>
          <w:p w14:paraId="4AD28878">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□新产品研发</w:t>
            </w:r>
            <w:r>
              <w:rPr>
                <w:rFonts w:hint="eastAsia" w:ascii="Times New Roman" w:hAnsi="Times New Roman" w:eastAsia="方正仿宋_GBK" w:cs="Times New Roman"/>
                <w:color w:val="000000" w:themeColor="text1"/>
                <w:sz w:val="24"/>
                <w14:textFill>
                  <w14:solidFill>
                    <w14:schemeClr w14:val="tx1"/>
                  </w14:solidFill>
                </w14:textFill>
              </w:rPr>
              <w:t xml:space="preserve"> </w:t>
            </w:r>
            <w:r>
              <w:rPr>
                <w:rFonts w:ascii="Times New Roman" w:hAnsi="Times New Roman" w:eastAsia="方正仿宋_GBK" w:cs="Times New Roman"/>
                <w:color w:val="000000" w:themeColor="text1"/>
                <w:sz w:val="24"/>
                <w14:textFill>
                  <w14:solidFill>
                    <w14:schemeClr w14:val="tx1"/>
                  </w14:solidFill>
                </w14:textFill>
              </w:rPr>
              <w:t xml:space="preserve">  □产品升级换代 □生产线技术改造</w:t>
            </w:r>
          </w:p>
          <w:p w14:paraId="09CA4ED2">
            <w:pPr>
              <w:spacing w:line="360" w:lineRule="exact"/>
              <w:rPr>
                <w:rFonts w:ascii="Times New Roman" w:hAnsi="Times New Roman" w:eastAsia="方正仿宋_GBK" w:cs="Times New Roman"/>
                <w:b/>
                <w:bCs/>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 xml:space="preserve">□制造工艺改进 □制造装备改进 </w:t>
            </w:r>
            <w:r>
              <w:rPr>
                <w:rFonts w:hint="eastAsia" w:ascii="宋体" w:hAnsi="宋体" w:eastAsia="宋体" w:cs="Times New Roman"/>
                <w:color w:val="000000" w:themeColor="text1"/>
                <w:sz w:val="24"/>
                <w14:textFill>
                  <w14:solidFill>
                    <w14:schemeClr w14:val="tx1"/>
                  </w14:solidFill>
                </w14:textFill>
              </w:rPr>
              <w:t>■</w:t>
            </w:r>
            <w:r>
              <w:rPr>
                <w:rFonts w:ascii="Times New Roman" w:hAnsi="Times New Roman" w:eastAsia="方正仿宋_GBK" w:cs="Times New Roman"/>
                <w:color w:val="000000" w:themeColor="text1"/>
                <w:sz w:val="24"/>
                <w14:textFill>
                  <w14:solidFill>
                    <w14:schemeClr w14:val="tx1"/>
                  </w14:solidFill>
                </w14:textFill>
              </w:rPr>
              <w:t>其他</w:t>
            </w:r>
          </w:p>
        </w:tc>
      </w:tr>
      <w:tr w14:paraId="7FD2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980" w:type="dxa"/>
            <w:gridSpan w:val="2"/>
            <w:tcBorders>
              <w:bottom w:val="single" w:color="auto" w:sz="4" w:space="0"/>
            </w:tcBorders>
            <w:vAlign w:val="center"/>
          </w:tcPr>
          <w:p w14:paraId="459AB2A9">
            <w:pPr>
              <w:spacing w:line="360" w:lineRule="exact"/>
              <w:jc w:val="center"/>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意向合作方式</w:t>
            </w:r>
          </w:p>
        </w:tc>
        <w:tc>
          <w:tcPr>
            <w:tcW w:w="7029" w:type="dxa"/>
            <w:gridSpan w:val="3"/>
            <w:tcBorders>
              <w:left w:val="nil"/>
              <w:bottom w:val="single" w:color="auto" w:sz="4" w:space="0"/>
            </w:tcBorders>
            <w:vAlign w:val="center"/>
          </w:tcPr>
          <w:p w14:paraId="5AC4D5CF">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 xml:space="preserve">□技术转让 </w:t>
            </w:r>
            <w:r>
              <w:rPr>
                <w:rFonts w:hint="eastAsia" w:ascii="宋体" w:hAnsi="宋体" w:eastAsia="宋体" w:cs="Times New Roman"/>
                <w:color w:val="000000" w:themeColor="text1"/>
                <w:sz w:val="24"/>
                <w14:textFill>
                  <w14:solidFill>
                    <w14:schemeClr w14:val="tx1"/>
                  </w14:solidFill>
                </w14:textFill>
              </w:rPr>
              <w:t>■</w:t>
            </w:r>
            <w:r>
              <w:rPr>
                <w:rFonts w:ascii="Times New Roman" w:hAnsi="Times New Roman" w:eastAsia="方正仿宋_GBK" w:cs="Times New Roman"/>
                <w:color w:val="000000" w:themeColor="text1"/>
                <w:sz w:val="24"/>
                <w14:textFill>
                  <w14:solidFill>
                    <w14:schemeClr w14:val="tx1"/>
                  </w14:solidFill>
                </w14:textFill>
              </w:rPr>
              <w:t xml:space="preserve">技术开发 □技术咨询 □技术服务 </w:t>
            </w:r>
          </w:p>
          <w:p w14:paraId="4C4B4CED">
            <w:pPr>
              <w:spacing w:line="360" w:lineRule="exact"/>
              <w:rPr>
                <w:rFonts w:ascii="Times New Roman" w:hAnsi="Times New Roman" w:eastAsia="方正仿宋_GBK" w:cs="Times New Roman"/>
                <w:color w:val="000000" w:themeColor="text1"/>
                <w:sz w:val="24"/>
                <w14:textFill>
                  <w14:solidFill>
                    <w14:schemeClr w14:val="tx1"/>
                  </w14:solidFill>
                </w14:textFill>
              </w:rPr>
            </w:pPr>
            <w:r>
              <w:rPr>
                <w:rFonts w:ascii="Times New Roman" w:hAnsi="Times New Roman" w:eastAsia="方正仿宋_GBK" w:cs="Times New Roman"/>
                <w:color w:val="000000" w:themeColor="text1"/>
                <w:sz w:val="24"/>
                <w14:textFill>
                  <w14:solidFill>
                    <w14:schemeClr w14:val="tx1"/>
                  </w14:solidFill>
                </w14:textFill>
              </w:rPr>
              <w:t>□技术入股 □人才培养 □共建载体 □其他</w:t>
            </w:r>
          </w:p>
        </w:tc>
      </w:tr>
      <w:tr w14:paraId="35A3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80" w:type="dxa"/>
            <w:gridSpan w:val="2"/>
            <w:tcBorders>
              <w:bottom w:val="single" w:color="auto" w:sz="4" w:space="0"/>
            </w:tcBorders>
            <w:vAlign w:val="center"/>
          </w:tcPr>
          <w:p w14:paraId="5BF65BEB">
            <w:pPr>
              <w:snapToGrid w:val="0"/>
              <w:jc w:val="center"/>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需求所处阶段</w:t>
            </w:r>
          </w:p>
        </w:tc>
        <w:tc>
          <w:tcPr>
            <w:tcW w:w="3169" w:type="dxa"/>
            <w:tcBorders>
              <w:left w:val="nil"/>
              <w:bottom w:val="single" w:color="auto" w:sz="4" w:space="0"/>
            </w:tcBorders>
            <w:vAlign w:val="center"/>
          </w:tcPr>
          <w:p w14:paraId="15312EC0">
            <w:pPr>
              <w:snapToGrid w:val="0"/>
              <w:rPr>
                <w:rFonts w:ascii="Times New Roman" w:hAnsi="Times New Roman" w:eastAsia="仿宋_GB2312" w:cs="Times New Roman"/>
                <w:b/>
                <w:bCs/>
                <w:color w:val="000000" w:themeColor="text1"/>
                <w:sz w:val="24"/>
                <w14:textFill>
                  <w14:solidFill>
                    <w14:schemeClr w14:val="tx1"/>
                  </w14:solidFill>
                </w14:textFill>
              </w:rPr>
            </w:pPr>
            <w:r>
              <w:rPr>
                <w:rFonts w:hint="eastAsia" w:ascii="宋体" w:hAnsi="宋体" w:eastAsia="宋体" w:cs="Times New Roman"/>
                <w:color w:val="000000" w:themeColor="text1"/>
                <w:sz w:val="24"/>
                <w14:textFill>
                  <w14:solidFill>
                    <w14:schemeClr w14:val="tx1"/>
                  </w14:solidFill>
                </w14:textFill>
              </w:rPr>
              <w:t>■</w:t>
            </w:r>
            <w:r>
              <w:rPr>
                <w:rFonts w:ascii="Times New Roman" w:hAnsi="Times New Roman" w:eastAsia="方正仿宋_GBK" w:cs="Times New Roman"/>
                <w:color w:val="000000" w:themeColor="text1"/>
                <w:sz w:val="24"/>
                <w14:textFill>
                  <w14:solidFill>
                    <w14:schemeClr w14:val="tx1"/>
                  </w14:solidFill>
                </w14:textFill>
              </w:rPr>
              <w:t>研制 □试生产 □小批量生产 □批量生产 □其他</w:t>
            </w:r>
          </w:p>
        </w:tc>
        <w:tc>
          <w:tcPr>
            <w:tcW w:w="2162" w:type="dxa"/>
            <w:tcBorders>
              <w:left w:val="nil"/>
              <w:bottom w:val="single" w:color="auto" w:sz="4" w:space="0"/>
            </w:tcBorders>
            <w:vAlign w:val="center"/>
          </w:tcPr>
          <w:p w14:paraId="1ADB3034">
            <w:pPr>
              <w:snapToGrid w:val="0"/>
              <w:jc w:val="center"/>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意向合作院校</w:t>
            </w:r>
          </w:p>
        </w:tc>
        <w:tc>
          <w:tcPr>
            <w:tcW w:w="1698" w:type="dxa"/>
            <w:tcBorders>
              <w:left w:val="nil"/>
              <w:bottom w:val="single" w:color="auto" w:sz="4" w:space="0"/>
            </w:tcBorders>
            <w:vAlign w:val="center"/>
          </w:tcPr>
          <w:p w14:paraId="65D4F40F">
            <w:pPr>
              <w:snapToGrid w:val="0"/>
              <w:jc w:val="center"/>
              <w:rPr>
                <w:rFonts w:ascii="Times New Roman" w:hAnsi="Times New Roman" w:eastAsia="仿宋_GB2312" w:cs="Times New Roman"/>
                <w:color w:val="000000" w:themeColor="text1"/>
                <w:sz w:val="24"/>
                <w14:textFill>
                  <w14:solidFill>
                    <w14:schemeClr w14:val="tx1"/>
                  </w14:solidFill>
                </w14:textFill>
              </w:rPr>
            </w:pPr>
            <w:r>
              <w:rPr>
                <w:rFonts w:hint="eastAsia" w:ascii="Times New Roman" w:hAnsi="Times New Roman" w:eastAsia="仿宋_GB2312" w:cs="Times New Roman"/>
                <w:color w:val="000000" w:themeColor="text1"/>
                <w:sz w:val="24"/>
                <w14:textFill>
                  <w14:solidFill>
                    <w14:schemeClr w14:val="tx1"/>
                  </w14:solidFill>
                </w14:textFill>
              </w:rPr>
              <w:t>江苏科技大学</w:t>
            </w:r>
          </w:p>
        </w:tc>
      </w:tr>
    </w:tbl>
    <w:p w14:paraId="69088A5E">
      <w:pPr>
        <w:spacing w:line="500" w:lineRule="exact"/>
        <w:rPr>
          <w:color w:val="000000" w:themeColor="text1"/>
          <w:sz w:val="28"/>
          <w:szCs w:val="28"/>
          <w14:textFill>
            <w14:solidFill>
              <w14:schemeClr w14:val="tx1"/>
            </w14:solidFill>
          </w14:textFill>
        </w:rPr>
      </w:pPr>
    </w:p>
    <w:p w14:paraId="5E1E9513">
      <w:pPr>
        <w:widowControl/>
        <w:jc w:val="left"/>
        <w:rPr>
          <w:rFonts w:ascii="Times New Roman" w:hAnsi="Times New Roman" w:eastAsia="方正仿宋_GBK" w:cs="Times New Roman"/>
          <w:color w:val="000000" w:themeColor="text1"/>
          <w:kern w:val="0"/>
          <w:sz w:val="32"/>
          <w:szCs w:val="32"/>
          <w14:textFill>
            <w14:solidFill>
              <w14:schemeClr w14:val="tx1"/>
            </w14:solidFill>
          </w14:textFill>
        </w:rPr>
      </w:pPr>
    </w:p>
    <w:sectPr>
      <w:footerReference r:id="rId3" w:type="default"/>
      <w:pgSz w:w="11906" w:h="16838"/>
      <w:pgMar w:top="1440" w:right="1519"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01A02">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3B536">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93B536">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xYmRjNTY0OTU0OWJhMjU2YmI5ZGZmMzQ0YjczMjAifQ=="/>
  </w:docVars>
  <w:rsids>
    <w:rsidRoot w:val="18BA14AA"/>
    <w:rsid w:val="000F0F45"/>
    <w:rsid w:val="001868FF"/>
    <w:rsid w:val="002971E3"/>
    <w:rsid w:val="002C2E87"/>
    <w:rsid w:val="0036169B"/>
    <w:rsid w:val="00446642"/>
    <w:rsid w:val="004932E0"/>
    <w:rsid w:val="004E42AD"/>
    <w:rsid w:val="0052620A"/>
    <w:rsid w:val="00561116"/>
    <w:rsid w:val="00654CD7"/>
    <w:rsid w:val="006D3468"/>
    <w:rsid w:val="007C25E6"/>
    <w:rsid w:val="00843A32"/>
    <w:rsid w:val="008E1D8E"/>
    <w:rsid w:val="00983B4B"/>
    <w:rsid w:val="00995936"/>
    <w:rsid w:val="009D5990"/>
    <w:rsid w:val="00A150FA"/>
    <w:rsid w:val="00A50B78"/>
    <w:rsid w:val="00AA1F28"/>
    <w:rsid w:val="00B0798C"/>
    <w:rsid w:val="00B750B3"/>
    <w:rsid w:val="00BA41ED"/>
    <w:rsid w:val="00C2402C"/>
    <w:rsid w:val="00CD0158"/>
    <w:rsid w:val="00D34AAB"/>
    <w:rsid w:val="00D807E7"/>
    <w:rsid w:val="00DF0D44"/>
    <w:rsid w:val="00E149E0"/>
    <w:rsid w:val="00E3577B"/>
    <w:rsid w:val="00E70191"/>
    <w:rsid w:val="00EB4222"/>
    <w:rsid w:val="00ED7850"/>
    <w:rsid w:val="00FB4052"/>
    <w:rsid w:val="0147778C"/>
    <w:rsid w:val="02F55B6C"/>
    <w:rsid w:val="049727D9"/>
    <w:rsid w:val="053F077B"/>
    <w:rsid w:val="05856AD5"/>
    <w:rsid w:val="06113EC5"/>
    <w:rsid w:val="06C65766"/>
    <w:rsid w:val="077978E7"/>
    <w:rsid w:val="08206641"/>
    <w:rsid w:val="092A7769"/>
    <w:rsid w:val="09F7464E"/>
    <w:rsid w:val="0BDE1032"/>
    <w:rsid w:val="0E796AAB"/>
    <w:rsid w:val="0F582B65"/>
    <w:rsid w:val="0F655282"/>
    <w:rsid w:val="0FBE58FC"/>
    <w:rsid w:val="10790FE5"/>
    <w:rsid w:val="124D097B"/>
    <w:rsid w:val="1254369E"/>
    <w:rsid w:val="13CE5AEB"/>
    <w:rsid w:val="153B2D0D"/>
    <w:rsid w:val="166B01A6"/>
    <w:rsid w:val="16E16DA2"/>
    <w:rsid w:val="1764706C"/>
    <w:rsid w:val="17806F99"/>
    <w:rsid w:val="17AC04B0"/>
    <w:rsid w:val="1820482C"/>
    <w:rsid w:val="18BA14AA"/>
    <w:rsid w:val="1A750A6F"/>
    <w:rsid w:val="1B291859"/>
    <w:rsid w:val="1B8371BB"/>
    <w:rsid w:val="1BC670A8"/>
    <w:rsid w:val="1C4050AC"/>
    <w:rsid w:val="1E0A5972"/>
    <w:rsid w:val="1EB77F78"/>
    <w:rsid w:val="1F5350F7"/>
    <w:rsid w:val="20174376"/>
    <w:rsid w:val="20B47E17"/>
    <w:rsid w:val="22FB0068"/>
    <w:rsid w:val="23566F63"/>
    <w:rsid w:val="23BA5744"/>
    <w:rsid w:val="23DA1943"/>
    <w:rsid w:val="241906BD"/>
    <w:rsid w:val="26CC5EBA"/>
    <w:rsid w:val="26EC030B"/>
    <w:rsid w:val="288602EB"/>
    <w:rsid w:val="2AF9465D"/>
    <w:rsid w:val="2B0C0F7B"/>
    <w:rsid w:val="2BA93F88"/>
    <w:rsid w:val="2CC94C4A"/>
    <w:rsid w:val="2E1F2D74"/>
    <w:rsid w:val="2FE83639"/>
    <w:rsid w:val="30517430"/>
    <w:rsid w:val="31280191"/>
    <w:rsid w:val="32BF4263"/>
    <w:rsid w:val="33B603F6"/>
    <w:rsid w:val="35133AD1"/>
    <w:rsid w:val="35906305"/>
    <w:rsid w:val="360B4EDC"/>
    <w:rsid w:val="362353CB"/>
    <w:rsid w:val="36F31241"/>
    <w:rsid w:val="37EB1F18"/>
    <w:rsid w:val="38106B4F"/>
    <w:rsid w:val="3AD44EE6"/>
    <w:rsid w:val="3BB70A8F"/>
    <w:rsid w:val="3CE138EA"/>
    <w:rsid w:val="3DD14F43"/>
    <w:rsid w:val="3E267C4F"/>
    <w:rsid w:val="3EF207DB"/>
    <w:rsid w:val="3F360145"/>
    <w:rsid w:val="3F4868B9"/>
    <w:rsid w:val="403F72A5"/>
    <w:rsid w:val="40784565"/>
    <w:rsid w:val="417D62D7"/>
    <w:rsid w:val="422E2D56"/>
    <w:rsid w:val="423D3DE3"/>
    <w:rsid w:val="43E05A11"/>
    <w:rsid w:val="455E1F7C"/>
    <w:rsid w:val="47E17D02"/>
    <w:rsid w:val="4AEF52C3"/>
    <w:rsid w:val="4AFF1B0B"/>
    <w:rsid w:val="4B2652EA"/>
    <w:rsid w:val="4DDE26C9"/>
    <w:rsid w:val="4F493C9D"/>
    <w:rsid w:val="4F950C90"/>
    <w:rsid w:val="5015592D"/>
    <w:rsid w:val="5253098E"/>
    <w:rsid w:val="53874D93"/>
    <w:rsid w:val="543078D7"/>
    <w:rsid w:val="547F60BF"/>
    <w:rsid w:val="55293119"/>
    <w:rsid w:val="558A2919"/>
    <w:rsid w:val="558F6181"/>
    <w:rsid w:val="55BF6453"/>
    <w:rsid w:val="5A010E1A"/>
    <w:rsid w:val="5AFE3C8A"/>
    <w:rsid w:val="5B685CD7"/>
    <w:rsid w:val="5B773940"/>
    <w:rsid w:val="5C5C7996"/>
    <w:rsid w:val="5CDA4186"/>
    <w:rsid w:val="5D804D2D"/>
    <w:rsid w:val="5E1D5B3E"/>
    <w:rsid w:val="5E631F59"/>
    <w:rsid w:val="5F1013D9"/>
    <w:rsid w:val="61E82EA1"/>
    <w:rsid w:val="6232236E"/>
    <w:rsid w:val="62A25A89"/>
    <w:rsid w:val="639F57E1"/>
    <w:rsid w:val="644759E4"/>
    <w:rsid w:val="66C8504F"/>
    <w:rsid w:val="68150768"/>
    <w:rsid w:val="68294213"/>
    <w:rsid w:val="68D4417F"/>
    <w:rsid w:val="692344DB"/>
    <w:rsid w:val="6A040A94"/>
    <w:rsid w:val="6B3E66B1"/>
    <w:rsid w:val="6B753BA5"/>
    <w:rsid w:val="6C5F1FB2"/>
    <w:rsid w:val="6CE818D0"/>
    <w:rsid w:val="6EB8009F"/>
    <w:rsid w:val="6F3A0AB4"/>
    <w:rsid w:val="7036127C"/>
    <w:rsid w:val="71072C18"/>
    <w:rsid w:val="71CD0599"/>
    <w:rsid w:val="726C71D7"/>
    <w:rsid w:val="72D80276"/>
    <w:rsid w:val="73DE4104"/>
    <w:rsid w:val="73F27BAF"/>
    <w:rsid w:val="74C7103C"/>
    <w:rsid w:val="757E794D"/>
    <w:rsid w:val="766E26D2"/>
    <w:rsid w:val="76D90BB3"/>
    <w:rsid w:val="76DF7CA3"/>
    <w:rsid w:val="76E47C83"/>
    <w:rsid w:val="76EF03D6"/>
    <w:rsid w:val="76FF686B"/>
    <w:rsid w:val="77DC3489"/>
    <w:rsid w:val="78342545"/>
    <w:rsid w:val="787B4617"/>
    <w:rsid w:val="7908577F"/>
    <w:rsid w:val="791258F3"/>
    <w:rsid w:val="7AFC13C1"/>
    <w:rsid w:val="7B106FFF"/>
    <w:rsid w:val="7B6009A7"/>
    <w:rsid w:val="7CAA7279"/>
    <w:rsid w:val="7E83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font11"/>
    <w:basedOn w:val="6"/>
    <w:qFormat/>
    <w:uiPriority w:val="0"/>
    <w:rPr>
      <w:rFonts w:hint="eastAsia" w:ascii="方正仿宋_GBK" w:eastAsia="方正仿宋_GBK"/>
      <w:color w:val="000000"/>
      <w:sz w:val="32"/>
      <w:szCs w:val="32"/>
      <w:u w:val="none"/>
    </w:rPr>
  </w:style>
  <w:style w:type="character" w:customStyle="1" w:styleId="8">
    <w:name w:val="批注框文本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1784</Words>
  <Characters>1857</Characters>
  <Lines>14</Lines>
  <Paragraphs>4</Paragraphs>
  <TotalTime>0</TotalTime>
  <ScaleCrop>false</ScaleCrop>
  <LinksUpToDate>false</LinksUpToDate>
  <CharactersWithSpaces>1946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2026-03-06T11:39:00Z</dcterms:created>
  <dc:creator>Administrator</dc:creator>
  <cp:lastModifiedBy>WPS_1713142089</cp:lastModifiedBy>
  <cp:lastPrinted>2026-03-03T09:42:00Z</cp:lastPrinted>
  <dcterms:modified xsi:type="dcterms:W3CDTF">2026-04-15T06:35:49Z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6964230A2FAD45AD8B6312CE0B49B4E6_13</vt:lpwstr>
  </property>
  <property fmtid="{D5CDD505-2E9C-101B-9397-08002B2CF9AE}" pid="4" name="KSOTemplateDocerSaveRecord">
    <vt:lpwstr>eyJoZGlkIjoiZjBmYzdmNjkxYzhkZDU0ZDE5ZmExNTA5OWZhMzYzNGIiLCJ1c2VySWQiOiIxNTkzNzE5Mjg0In0=</vt:lpwstr>
  </property>
</Properties>
</file>